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2AA14" w14:textId="7C63B57A" w:rsidR="00C02DEF" w:rsidRPr="009F29FB" w:rsidRDefault="00B0627C" w:rsidP="00B0627C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>
        <w:rPr>
          <w:rFonts w:cs="Arial"/>
          <w:bCs/>
          <w:noProof w:val="0"/>
          <w:sz w:val="24"/>
          <w:szCs w:val="24"/>
          <w:lang w:val="en-GB"/>
        </w:rPr>
        <w:t>92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C02DEF" w:rsidRPr="00C02DEF">
        <w:rPr>
          <w:rFonts w:cs="Arial"/>
          <w:noProof w:val="0"/>
          <w:color w:val="000000" w:themeColor="text1"/>
          <w:sz w:val="24"/>
          <w:szCs w:val="24"/>
          <w:lang w:val="en-GB"/>
        </w:rPr>
        <w:t>R4-1908366</w:t>
      </w:r>
      <w:r w:rsidR="00C02DEF" w:rsidRPr="00C02DEF" w:rsidDel="00C02DEF">
        <w:rPr>
          <w:rFonts w:cs="Arial"/>
          <w:noProof w:val="0"/>
          <w:color w:val="000000" w:themeColor="text1"/>
          <w:sz w:val="24"/>
          <w:szCs w:val="24"/>
          <w:highlight w:val="yellow"/>
          <w:lang w:val="en-GB"/>
        </w:rPr>
        <w:t xml:space="preserve"> </w:t>
      </w:r>
    </w:p>
    <w:p w14:paraId="3FB71268" w14:textId="77777777" w:rsidR="00B0627C" w:rsidRDefault="00B0627C" w:rsidP="00C02DEF">
      <w:pPr>
        <w:pStyle w:val="Header"/>
        <w:tabs>
          <w:tab w:val="right" w:pos="9639"/>
        </w:tabs>
        <w:rPr>
          <w:b w:val="0"/>
          <w:sz w:val="24"/>
        </w:rPr>
      </w:pPr>
      <w:r w:rsidRPr="00944A45">
        <w:rPr>
          <w:sz w:val="24"/>
        </w:rPr>
        <w:t>Ljubljana, Slovenia</w:t>
      </w:r>
      <w:r>
        <w:rPr>
          <w:sz w:val="24"/>
        </w:rPr>
        <w:t>,</w:t>
      </w:r>
      <w:r w:rsidRPr="009A1AEC">
        <w:rPr>
          <w:sz w:val="24"/>
        </w:rPr>
        <w:t xml:space="preserve"> </w:t>
      </w:r>
      <w:r>
        <w:rPr>
          <w:sz w:val="24"/>
        </w:rPr>
        <w:t>26</w:t>
      </w:r>
      <w:r w:rsidRPr="009A1AEC">
        <w:rPr>
          <w:sz w:val="24"/>
          <w:vertAlign w:val="superscript"/>
        </w:rPr>
        <w:t>th</w:t>
      </w:r>
      <w:r w:rsidRPr="009A1AEC">
        <w:rPr>
          <w:sz w:val="24"/>
        </w:rPr>
        <w:t xml:space="preserve"> – </w:t>
      </w:r>
      <w:r>
        <w:rPr>
          <w:sz w:val="24"/>
        </w:rPr>
        <w:t>30</w:t>
      </w:r>
      <w:r w:rsidRPr="009A1AEC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 w:rsidRPr="009A1AEC">
        <w:rPr>
          <w:sz w:val="24"/>
        </w:rPr>
        <w:t xml:space="preserve"> </w:t>
      </w:r>
      <w:r>
        <w:rPr>
          <w:sz w:val="24"/>
        </w:rPr>
        <w:t>Aug.</w:t>
      </w:r>
      <w:r w:rsidRPr="009A1AEC">
        <w:rPr>
          <w:sz w:val="24"/>
        </w:rPr>
        <w:t xml:space="preserve">, 2019        </w:t>
      </w:r>
    </w:p>
    <w:p w14:paraId="6D49E8AF" w14:textId="77777777" w:rsidR="00B0627C" w:rsidRPr="00616CED" w:rsidRDefault="00B0627C" w:rsidP="00B0627C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477077A9" w14:textId="4F445D77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6F76A7" w:rsidRPr="00C02DEF">
        <w:rPr>
          <w:rFonts w:cs="Arial"/>
          <w:b/>
          <w:bCs/>
          <w:sz w:val="24"/>
        </w:rPr>
        <w:t>9.</w:t>
      </w:r>
      <w:r w:rsidR="00F61738" w:rsidRPr="00C02DEF">
        <w:rPr>
          <w:rFonts w:cs="Arial"/>
          <w:b/>
          <w:bCs/>
          <w:sz w:val="24"/>
        </w:rPr>
        <w:t>6</w:t>
      </w:r>
      <w:r w:rsidR="00480972" w:rsidRPr="00C02DEF">
        <w:rPr>
          <w:rFonts w:cs="Arial"/>
          <w:b/>
          <w:bCs/>
          <w:sz w:val="24"/>
        </w:rPr>
        <w:t>.3</w:t>
      </w:r>
      <w:bookmarkStart w:id="2" w:name="_GoBack"/>
      <w:bookmarkEnd w:id="2"/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49135C33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480972" w:rsidRPr="00480972">
        <w:rPr>
          <w:rFonts w:ascii="Arial" w:hAnsi="Arial" w:cs="Arial"/>
          <w:b/>
          <w:bCs/>
          <w:color w:val="000000" w:themeColor="text1"/>
        </w:rPr>
        <w:t xml:space="preserve">Discussion on </w:t>
      </w:r>
      <w:r w:rsidR="00F61738" w:rsidRPr="00F61738">
        <w:rPr>
          <w:rFonts w:ascii="Arial" w:hAnsi="Arial" w:cs="Arial"/>
          <w:b/>
          <w:bCs/>
          <w:color w:val="000000" w:themeColor="text1"/>
        </w:rPr>
        <w:t>IDLE mode CA measurement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C621D91" w14:textId="2AF1B700" w:rsidR="00552D0E" w:rsidRDefault="00B0627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 w:rsidR="000C5555" w:rsidRPr="00D15AED">
        <w:rPr>
          <w:rFonts w:eastAsiaTheme="minorEastAsia" w:cs="Arial"/>
          <w:sz w:val="22"/>
          <w:lang w:eastAsia="zh-CN"/>
        </w:rPr>
        <w:t>Xi'an</w:t>
      </w:r>
      <w:r w:rsidR="000C5555" w:rsidDel="000C5555">
        <w:rPr>
          <w:rFonts w:eastAsiaTheme="minorEastAsia" w:cs="Arial"/>
          <w:sz w:val="22"/>
          <w:lang w:eastAsia="zh-CN"/>
        </w:rPr>
        <w:t xml:space="preserve"> </w:t>
      </w:r>
      <w:r w:rsidR="000C5555">
        <w:rPr>
          <w:rFonts w:eastAsiaTheme="minorEastAsia" w:cs="Arial"/>
          <w:sz w:val="22"/>
          <w:lang w:eastAsia="zh-CN"/>
        </w:rPr>
        <w:t xml:space="preserve">#105-Bis </w:t>
      </w:r>
      <w:r w:rsidR="006F76A7">
        <w:rPr>
          <w:rFonts w:eastAsiaTheme="minorEastAsia" w:cs="Arial"/>
          <w:sz w:val="22"/>
          <w:lang w:eastAsia="zh-CN"/>
        </w:rPr>
        <w:t>meeting</w:t>
      </w:r>
      <w:r w:rsidR="002E5E71">
        <w:rPr>
          <w:rFonts w:eastAsiaTheme="minorEastAsia" w:cs="Arial"/>
          <w:sz w:val="22"/>
          <w:lang w:eastAsia="zh-CN"/>
        </w:rPr>
        <w:t xml:space="preserve"> [1]</w:t>
      </w:r>
      <w:r w:rsidR="006F76A7">
        <w:rPr>
          <w:rFonts w:eastAsiaTheme="minorEastAsia" w:cs="Arial"/>
          <w:sz w:val="22"/>
          <w:lang w:eastAsia="zh-CN"/>
        </w:rPr>
        <w:t xml:space="preserve">, </w:t>
      </w:r>
      <w:r w:rsidR="00480972">
        <w:rPr>
          <w:rFonts w:eastAsiaTheme="minorEastAsia" w:cs="Arial"/>
          <w:sz w:val="22"/>
          <w:lang w:eastAsia="zh-CN"/>
        </w:rPr>
        <w:t>RAN</w:t>
      </w:r>
      <w:r w:rsidR="000C5555">
        <w:rPr>
          <w:rFonts w:eastAsiaTheme="minorEastAsia" w:cs="Arial"/>
          <w:sz w:val="22"/>
          <w:lang w:eastAsia="zh-CN"/>
        </w:rPr>
        <w:t>2</w:t>
      </w:r>
      <w:r w:rsidR="00480972">
        <w:rPr>
          <w:rFonts w:eastAsiaTheme="minorEastAsia" w:cs="Arial"/>
          <w:sz w:val="22"/>
          <w:lang w:eastAsia="zh-CN"/>
        </w:rPr>
        <w:t xml:space="preserve"> </w:t>
      </w:r>
      <w:r w:rsidR="00F35F8A">
        <w:rPr>
          <w:rFonts w:eastAsiaTheme="minorEastAsia" w:cs="Arial"/>
          <w:sz w:val="22"/>
          <w:lang w:eastAsia="zh-CN"/>
        </w:rPr>
        <w:t xml:space="preserve">agreed </w:t>
      </w:r>
      <w:r w:rsidR="000C5555">
        <w:rPr>
          <w:rFonts w:eastAsiaTheme="minorEastAsia" w:cs="Arial"/>
          <w:sz w:val="22"/>
          <w:lang w:eastAsia="zh-CN"/>
        </w:rPr>
        <w:t>to introduce NR IDLE/</w:t>
      </w:r>
      <w:r w:rsidR="000C5555" w:rsidRPr="00D15AED">
        <w:rPr>
          <w:rFonts w:eastAsiaTheme="minorEastAsia" w:cs="Arial"/>
          <w:sz w:val="22"/>
          <w:lang w:eastAsia="zh-CN"/>
        </w:rPr>
        <w:t>INACTIVE</w:t>
      </w:r>
      <w:r w:rsidR="000C5555">
        <w:rPr>
          <w:rFonts w:eastAsiaTheme="minorEastAsia" w:cs="Arial"/>
          <w:sz w:val="22"/>
          <w:lang w:eastAsia="zh-CN"/>
        </w:rPr>
        <w:t xml:space="preserve"> CA measurement. The related agreements are listed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552D0E" w:rsidRPr="00616CED" w14:paraId="27F3F2E1" w14:textId="77777777" w:rsidTr="00310AA8">
        <w:trPr>
          <w:jc w:val="center"/>
        </w:trPr>
        <w:tc>
          <w:tcPr>
            <w:tcW w:w="9619" w:type="dxa"/>
          </w:tcPr>
          <w:p w14:paraId="2302F93A" w14:textId="77777777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Agreements</w:t>
            </w:r>
          </w:p>
          <w:p w14:paraId="441FDEA4" w14:textId="33720DC0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1: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>NR early measurements can be configured in both NR R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RCRelease message and NR system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information. </w:t>
            </w:r>
          </w:p>
          <w:p w14:paraId="15AD18BD" w14:textId="72E1A070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   F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FS: Whether there are differences in the configuration that can be provided by RRCRelease and SI.</w:t>
            </w:r>
          </w:p>
          <w:p w14:paraId="2C9AD85D" w14:textId="77777777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2: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>Introduce some indication about the cell's early measurement support in NR system information.</w:t>
            </w:r>
          </w:p>
          <w:p w14:paraId="4B6B291F" w14:textId="52DBA964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3: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To control the duration of UE performing both IDLE and INACTIVE measurements, a single validity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timer (similar to measIdleDuration in LTE euCA) is mandatory indicated only in NR RRCRelease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message, i.e. not included in NR SIB.</w:t>
            </w:r>
          </w:p>
          <w:p w14:paraId="69157316" w14:textId="67339229" w:rsidR="000C5555" w:rsidRPr="003F590D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4: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</w:r>
            <w:r w:rsidRPr="003F590D"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  <w:t xml:space="preserve">For both IDLE and INACTIVE early measurements, the following IEs can be optionally configured per </w:t>
            </w:r>
            <w:r w:rsidRPr="003F590D"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  <w:br/>
              <w:t xml:space="preserve">   NR frequency in both NR RRCRelease message and NR SIB:</w:t>
            </w:r>
          </w:p>
          <w:p w14:paraId="76ECF140" w14:textId="501B4BA4" w:rsidR="000C5555" w:rsidRPr="003F590D" w:rsidRDefault="000C5555" w:rsidP="000C5555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360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3F590D"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  <w:t>-</w:t>
            </w:r>
            <w:r w:rsidRPr="003F590D"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  <w:tab/>
              <w:t xml:space="preserve">A list of frequencies and optionally cells (similar to measCellList in LTE euCA) the UE is required to </w:t>
            </w:r>
            <w:r w:rsidRPr="003F590D"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  <w:br/>
              <w:t xml:space="preserve">  perform early measurements. </w:t>
            </w:r>
          </w:p>
          <w:p w14:paraId="7AF0116B" w14:textId="09CC92B9" w:rsidR="000C5555" w:rsidRPr="000C5555" w:rsidRDefault="000C5555" w:rsidP="000C5555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360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3F590D"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  <w:t>-</w:t>
            </w:r>
            <w:r w:rsidRPr="003F590D"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  <w:tab/>
              <w:t xml:space="preserve">A cell quality threshold (similar to qualityThreshold in LTE euCA) the UE is required to report the </w:t>
            </w:r>
            <w:r w:rsidRPr="003F590D">
              <w:rPr>
                <w:rFonts w:ascii="Arial" w:eastAsia="SimSun" w:hAnsi="Arial" w:cs="Arial"/>
                <w:bCs/>
                <w:sz w:val="20"/>
                <w:szCs w:val="20"/>
                <w:highlight w:val="yellow"/>
                <w:lang w:val="en-GB"/>
              </w:rPr>
              <w:br/>
              <w:t xml:space="preserve">  measurement results only for the cells which met the configured thresholds.</w:t>
            </w:r>
          </w:p>
          <w:p w14:paraId="66D928BC" w14:textId="52578D26" w:rsidR="000C5555" w:rsidRPr="000C5555" w:rsidRDefault="000C5555" w:rsidP="000C5555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360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FFS: A validity Area (similar to validityArea in LTE euCA) to indicate the list of cells within which UE is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required to perform early measurements. If the UE reselects to a cell outside this list, the early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measurements are no longer required (same as timer expiry).</w:t>
            </w:r>
          </w:p>
          <w:p w14:paraId="35FA2028" w14:textId="77777777" w:rsidR="000C5555" w:rsidRDefault="000C5555" w:rsidP="000C5555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>o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If it is absent, the UE will not have area limitation of early measurements. </w:t>
            </w:r>
          </w:p>
          <w:p w14:paraId="4840C8A6" w14:textId="57B07EE3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For SSB based measurements:</w:t>
            </w:r>
          </w:p>
          <w:p w14:paraId="785E7266" w14:textId="4BE49A82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5: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For both IDLE and INACTIVE early measurements, SSB frequencies to be measured can be located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out of sync raster</w:t>
            </w:r>
          </w:p>
          <w:p w14:paraId="5A57BB0C" w14:textId="0652F511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6: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For both IDLE and INACTIVE early measurements, RSRP and RSRQ can be configured as cell and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beam measurement quantity. </w:t>
            </w:r>
          </w:p>
          <w:p w14:paraId="72AFAF45" w14:textId="48E2386E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7: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For both IDLE and INACTIVE early measurements, the configuration parameters provided per SSB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frequency follow the same principles as those provided in SIB2/4 for the purposes of Idle/Inactive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mobility. (Details differences can be discussed at stage 3 level)</w:t>
            </w:r>
          </w:p>
          <w:p w14:paraId="58E3EA31" w14:textId="526A9A09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8: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As LTE euCA, cell / beam SINR is not introduced as measurement quantity in NR early measurement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configuration in Rel-16.</w:t>
            </w:r>
          </w:p>
          <w:p w14:paraId="3A9C4B05" w14:textId="7E45C5BF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For SSB based beam level measurement configurations:</w:t>
            </w:r>
          </w:p>
          <w:p w14:paraId="18F6C3E7" w14:textId="3708C2B7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9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: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>The UE is required to report the beam with the highest measurement quantity</w:t>
            </w:r>
          </w:p>
          <w:p w14:paraId="4DC63A87" w14:textId="240402B5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FFS: Whether additional beams can be reported.</w:t>
            </w:r>
          </w:p>
          <w:p w14:paraId="48C01D11" w14:textId="1D36D9D5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10: For both IDLE and INACTIVE early measurements, the UE can be configured with one of the 3 beam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reporting types</w:t>
            </w:r>
          </w:p>
          <w:p w14:paraId="0D27EEB8" w14:textId="587E21CB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1)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No beam reporting; </w:t>
            </w:r>
          </w:p>
          <w:p w14:paraId="4FFDBEA4" w14:textId="14B4C8FD" w:rsidR="000C5555" w:rsidRPr="000C5555" w:rsidRDefault="000C5555" w:rsidP="003F590D">
            <w:pPr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3610"/>
              </w:tabs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2)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Only beam identifier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</w:r>
          </w:p>
          <w:p w14:paraId="54878373" w14:textId="27F247AF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3)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ab/>
              <w:t xml:space="preserve">Both beam identifier and quantity </w:t>
            </w:r>
          </w:p>
          <w:p w14:paraId="6DCAC5DD" w14:textId="2C18307C" w:rsidR="000C5555" w:rsidRP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FFS: Whether to support CSI-RS based NR early measurements</w:t>
            </w:r>
          </w:p>
          <w:p w14:paraId="7C496D53" w14:textId="6116579F" w:rsidR="00552D0E" w:rsidRPr="00176FA0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lastRenderedPageBreak/>
              <w:t xml:space="preserve">11: LTE UE in IDLE mode, IDLE with suspended, and INACTIVE can be configured with NR early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 xml:space="preserve">measurements to support fast setup of (NG)EN-DC (i.e. euCA is extended to support NR 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measurements). Details are FFS</w:t>
            </w:r>
          </w:p>
        </w:tc>
      </w:tr>
    </w:tbl>
    <w:p w14:paraId="6F715CFC" w14:textId="1C7F44CA" w:rsidR="005571D2" w:rsidRDefault="002E1F8F" w:rsidP="003F590D">
      <w:pPr>
        <w:pStyle w:val="Doc-text2"/>
        <w:tabs>
          <w:tab w:val="clear" w:pos="1622"/>
          <w:tab w:val="left" w:pos="245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lastRenderedPageBreak/>
        <w:t xml:space="preserve">In this paper, we discuss </w:t>
      </w:r>
      <w:r w:rsidR="000C5555">
        <w:rPr>
          <w:rFonts w:eastAsiaTheme="minorEastAsia" w:cs="Arial"/>
          <w:sz w:val="22"/>
          <w:lang w:eastAsia="zh-CN"/>
        </w:rPr>
        <w:t xml:space="preserve">the </w:t>
      </w:r>
      <w:r w:rsidR="00AF3ED1">
        <w:rPr>
          <w:rFonts w:eastAsiaTheme="minorEastAsia" w:cs="Arial"/>
          <w:sz w:val="22"/>
          <w:lang w:eastAsia="zh-CN"/>
        </w:rPr>
        <w:t xml:space="preserve">related </w:t>
      </w:r>
      <w:r w:rsidR="000C5555">
        <w:rPr>
          <w:rFonts w:eastAsiaTheme="minorEastAsia" w:cs="Arial"/>
          <w:sz w:val="22"/>
          <w:lang w:eastAsia="zh-CN"/>
        </w:rPr>
        <w:t xml:space="preserve">RAN4 requirement for </w:t>
      </w:r>
      <w:r w:rsidR="00AF3ED1" w:rsidRPr="00AF3ED1">
        <w:rPr>
          <w:rFonts w:eastAsiaTheme="minorEastAsia" w:cs="Arial"/>
          <w:sz w:val="22"/>
          <w:lang w:eastAsia="zh-CN"/>
        </w:rPr>
        <w:t>NR IDLE/INACTIVE CA measurement</w:t>
      </w:r>
      <w:r w:rsidR="00AF3ED1">
        <w:rPr>
          <w:rFonts w:eastAsiaTheme="minorEastAsia" w:cs="Arial"/>
          <w:sz w:val="22"/>
          <w:lang w:eastAsia="zh-CN"/>
        </w:rPr>
        <w:t xml:space="preserve">. </w:t>
      </w:r>
    </w:p>
    <w:p w14:paraId="62BA15CC" w14:textId="5948D71E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086DDF"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 </w:t>
      </w:r>
    </w:p>
    <w:p w14:paraId="2E47FD29" w14:textId="388624AE" w:rsidR="00AF3ED1" w:rsidRDefault="00621A86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current RAN4 spec, </w:t>
      </w:r>
      <w:r w:rsidR="00AF3ED1">
        <w:rPr>
          <w:rFonts w:ascii="Arial" w:hAnsi="Arial" w:cs="Arial"/>
        </w:rPr>
        <w:t>TS36.133 Sect</w:t>
      </w:r>
      <w:r w:rsidR="00A155BA">
        <w:rPr>
          <w:rFonts w:ascii="Arial" w:hAnsi="Arial" w:cs="Arial"/>
        </w:rPr>
        <w:t>i</w:t>
      </w:r>
      <w:r w:rsidR="00AF3ED1">
        <w:rPr>
          <w:rFonts w:ascii="Arial" w:hAnsi="Arial" w:cs="Arial"/>
        </w:rPr>
        <w:t>on 4.9 has specified the IDLE mode CA measurement for LTE SA mode UE</w:t>
      </w:r>
      <w:r w:rsidR="00455E3E">
        <w:rPr>
          <w:rFonts w:ascii="Arial" w:hAnsi="Arial" w:cs="Arial"/>
        </w:rPr>
        <w:t xml:space="preserve"> during </w:t>
      </w:r>
      <w:r w:rsidR="003237EB">
        <w:rPr>
          <w:rFonts w:ascii="Arial" w:hAnsi="Arial" w:cs="Arial"/>
        </w:rPr>
        <w:t>Rel-15</w:t>
      </w:r>
      <w:r w:rsidR="00455E3E">
        <w:rPr>
          <w:rFonts w:ascii="Arial" w:hAnsi="Arial" w:cs="Arial"/>
        </w:rPr>
        <w:t xml:space="preserve"> euCA WI</w:t>
      </w:r>
      <w:r w:rsidR="00AF3ED1">
        <w:rPr>
          <w:rFonts w:ascii="Arial" w:hAnsi="Arial" w:cs="Arial"/>
        </w:rPr>
        <w:t>. For UE which supports</w:t>
      </w:r>
      <w:r w:rsidR="003F590D">
        <w:rPr>
          <w:rFonts w:ascii="Arial" w:hAnsi="Arial" w:cs="Arial"/>
        </w:rPr>
        <w:t xml:space="preserve"> </w:t>
      </w:r>
      <w:r w:rsidR="003F590D" w:rsidRPr="002E5E71">
        <w:rPr>
          <w:rFonts w:ascii="Arial" w:hAnsi="Arial" w:cs="Arial"/>
          <w:i/>
        </w:rPr>
        <w:t>ca-IdleModeMeasurements</w:t>
      </w:r>
      <w:r w:rsidR="003F590D">
        <w:rPr>
          <w:rFonts w:ascii="Arial" w:hAnsi="Arial" w:cs="Arial"/>
          <w:i/>
        </w:rPr>
        <w:t xml:space="preserve">, </w:t>
      </w:r>
      <w:r w:rsidR="00052748">
        <w:rPr>
          <w:rFonts w:ascii="Arial" w:hAnsi="Arial" w:cs="Arial"/>
        </w:rPr>
        <w:t xml:space="preserve">UE shall perform measurement on the configured overlapping and non-overlapping inter-frequency carriers for IDLE mode measurement reporting shown as Table 1. </w:t>
      </w:r>
      <w:r w:rsidR="00AF3ED1" w:rsidRPr="002E5E71">
        <w:rPr>
          <w:rFonts w:ascii="Arial" w:hAnsi="Arial" w:cs="Arial"/>
          <w:i/>
        </w:rPr>
        <w:t xml:space="preserve"> </w:t>
      </w:r>
    </w:p>
    <w:p w14:paraId="006E475B" w14:textId="15226C5C" w:rsidR="00AF3ED1" w:rsidRPr="002E5E71" w:rsidRDefault="003F590D" w:rsidP="002E5E71">
      <w:pPr>
        <w:jc w:val="center"/>
        <w:rPr>
          <w:rFonts w:ascii="Arial" w:hAnsi="Arial" w:cs="Arial"/>
          <w:b/>
        </w:rPr>
      </w:pPr>
      <w:r w:rsidRPr="002E5E71">
        <w:rPr>
          <w:rFonts w:ascii="Arial" w:hAnsi="Arial" w:cs="Arial"/>
          <w:b/>
        </w:rPr>
        <w:t>Table 1: Measurements of inter-frequency CA candidate cells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A155BA" w14:paraId="6420002D" w14:textId="77777777" w:rsidTr="00D15AED">
        <w:tc>
          <w:tcPr>
            <w:tcW w:w="1925" w:type="dxa"/>
            <w:vAlign w:val="center"/>
          </w:tcPr>
          <w:p w14:paraId="6216A468" w14:textId="227BA34F" w:rsidR="00A155BA" w:rsidRDefault="00AC59AE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Serving cell signal quality</w:t>
            </w:r>
          </w:p>
        </w:tc>
        <w:tc>
          <w:tcPr>
            <w:tcW w:w="3852" w:type="dxa"/>
            <w:gridSpan w:val="2"/>
            <w:vAlign w:val="center"/>
          </w:tcPr>
          <w:p w14:paraId="4596C7DF" w14:textId="419AAA62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rxlev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≤ 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nonIntraSearchP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3409F4">
              <w:rPr>
                <w:rFonts w:ascii="Arial" w:hAnsi="Arial" w:cs="Arial"/>
                <w:sz w:val="20"/>
                <w:szCs w:val="20"/>
              </w:rPr>
              <w:br/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qual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≤ 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nonIntraSearchQ</w:t>
            </w:r>
          </w:p>
        </w:tc>
        <w:tc>
          <w:tcPr>
            <w:tcW w:w="3852" w:type="dxa"/>
            <w:gridSpan w:val="2"/>
            <w:vAlign w:val="center"/>
          </w:tcPr>
          <w:p w14:paraId="45DA55F2" w14:textId="737DCF13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rxlev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&gt; 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nonIntraSearchP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3409F4">
              <w:rPr>
                <w:rFonts w:ascii="Arial" w:hAnsi="Arial" w:cs="Arial"/>
                <w:sz w:val="20"/>
                <w:szCs w:val="20"/>
              </w:rPr>
              <w:br/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qual </w:t>
            </w:r>
            <w:r w:rsidRPr="003409F4">
              <w:rPr>
                <w:rFonts w:ascii="Arial" w:hAnsi="Arial" w:cs="Arial"/>
                <w:sz w:val="20"/>
                <w:szCs w:val="20"/>
              </w:rPr>
              <w:t>&gt; 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nonIntraSearchQ</w:t>
            </w:r>
          </w:p>
        </w:tc>
      </w:tr>
      <w:tr w:rsidR="00A155BA" w14:paraId="3ABEFC07" w14:textId="77777777" w:rsidTr="00D15AED">
        <w:trPr>
          <w:trHeight w:val="561"/>
        </w:trPr>
        <w:tc>
          <w:tcPr>
            <w:tcW w:w="1925" w:type="dxa"/>
            <w:vAlign w:val="center"/>
          </w:tcPr>
          <w:p w14:paraId="3AB3A154" w14:textId="7324939D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A155BA">
              <w:rPr>
                <w:rFonts w:ascii="Arial" w:hAnsi="Arial" w:cs="Arial"/>
                <w:sz w:val="20"/>
                <w:szCs w:val="20"/>
              </w:rPr>
              <w:t>Overlapping</w:t>
            </w:r>
            <w:r w:rsidRPr="00A155B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with carriers for </w:t>
            </w:r>
            <w:r w:rsidRPr="003409F4">
              <w:rPr>
                <w:rFonts w:ascii="Arial" w:hAnsi="Arial" w:cs="Arial"/>
                <w:sz w:val="20"/>
                <w:szCs w:val="20"/>
              </w:rPr>
              <w:br/>
              <w:t>re-selection</w:t>
            </w:r>
          </w:p>
        </w:tc>
        <w:tc>
          <w:tcPr>
            <w:tcW w:w="1926" w:type="dxa"/>
            <w:vAlign w:val="center"/>
          </w:tcPr>
          <w:p w14:paraId="1840EB56" w14:textId="38AFC8DD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</w:p>
        </w:tc>
        <w:tc>
          <w:tcPr>
            <w:tcW w:w="1926" w:type="dxa"/>
            <w:vAlign w:val="center"/>
          </w:tcPr>
          <w:p w14:paraId="0D90F13A" w14:textId="7A12C76D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</w:p>
        </w:tc>
        <w:tc>
          <w:tcPr>
            <w:tcW w:w="1926" w:type="dxa"/>
            <w:vAlign w:val="center"/>
          </w:tcPr>
          <w:p w14:paraId="0C82ED47" w14:textId="39512FD2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</w:p>
        </w:tc>
        <w:tc>
          <w:tcPr>
            <w:tcW w:w="1926" w:type="dxa"/>
            <w:vAlign w:val="center"/>
          </w:tcPr>
          <w:p w14:paraId="15D580E8" w14:textId="51109641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</w:p>
        </w:tc>
      </w:tr>
      <w:tr w:rsidR="00A155BA" w14:paraId="297F2084" w14:textId="77777777" w:rsidTr="00D15AED">
        <w:trPr>
          <w:trHeight w:val="687"/>
        </w:trPr>
        <w:tc>
          <w:tcPr>
            <w:tcW w:w="1925" w:type="dxa"/>
            <w:vAlign w:val="center"/>
          </w:tcPr>
          <w:p w14:paraId="438FBECF" w14:textId="195A83A0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#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3409F4">
              <w:rPr>
                <w:rFonts w:ascii="Arial" w:hAnsi="Arial" w:cs="Arial"/>
                <w:sz w:val="20"/>
                <w:szCs w:val="20"/>
              </w:rPr>
              <w:t>early measurement reporting carriers</w:t>
            </w:r>
          </w:p>
        </w:tc>
        <w:tc>
          <w:tcPr>
            <w:tcW w:w="3852" w:type="dxa"/>
            <w:gridSpan w:val="2"/>
            <w:vAlign w:val="center"/>
          </w:tcPr>
          <w:p w14:paraId="688B55B4" w14:textId="60F4EBD4" w:rsidR="00A155BA" w:rsidRPr="002E5E71" w:rsidRDefault="00A155BA" w:rsidP="00D15AED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2E5E7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3</w:t>
            </w:r>
            <w:r w:rsidRPr="002E5E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(0 or 1 inter-frequency carrier may be a non-overlapping carrier)</w:t>
            </w:r>
          </w:p>
        </w:tc>
        <w:tc>
          <w:tcPr>
            <w:tcW w:w="3852" w:type="dxa"/>
            <w:gridSpan w:val="2"/>
            <w:vAlign w:val="center"/>
          </w:tcPr>
          <w:p w14:paraId="409B8661" w14:textId="14AE2889" w:rsidR="00A155BA" w:rsidRPr="002E5E71" w:rsidRDefault="00A155BA" w:rsidP="00D15AED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2E5E7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1</w:t>
            </w:r>
            <w:r w:rsidRPr="002E5E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(0 or 1 inter-frequency carrier may be a non-overlapping carrier)</w:t>
            </w:r>
          </w:p>
        </w:tc>
      </w:tr>
      <w:tr w:rsidR="00A155BA" w14:paraId="51329305" w14:textId="77777777" w:rsidTr="00D15AED">
        <w:tc>
          <w:tcPr>
            <w:tcW w:w="1925" w:type="dxa"/>
            <w:vAlign w:val="center"/>
          </w:tcPr>
          <w:p w14:paraId="0D0F234D" w14:textId="69892B33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Measurement delay</w:t>
            </w:r>
          </w:p>
        </w:tc>
        <w:tc>
          <w:tcPr>
            <w:tcW w:w="1926" w:type="dxa"/>
            <w:vAlign w:val="center"/>
          </w:tcPr>
          <w:p w14:paraId="18C9EF0E" w14:textId="5935A7A6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4.2.2.4</w:t>
            </w:r>
          </w:p>
        </w:tc>
        <w:tc>
          <w:tcPr>
            <w:tcW w:w="1926" w:type="dxa"/>
            <w:vAlign w:val="center"/>
          </w:tcPr>
          <w:p w14:paraId="15E4BAC3" w14:textId="06A2043E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926" w:type="dxa"/>
            <w:vAlign w:val="center"/>
          </w:tcPr>
          <w:p w14:paraId="02DD9A0B" w14:textId="05C8B4B4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926" w:type="dxa"/>
            <w:vAlign w:val="center"/>
          </w:tcPr>
          <w:p w14:paraId="0A6B4B40" w14:textId="3D0D9D70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A155BA" w14:paraId="14779188" w14:textId="77777777" w:rsidTr="00D15AED">
        <w:tc>
          <w:tcPr>
            <w:tcW w:w="1925" w:type="dxa"/>
            <w:vAlign w:val="center"/>
          </w:tcPr>
          <w:p w14:paraId="1C3EFD34" w14:textId="4E4B35A5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Measurement accuracy</w:t>
            </w:r>
          </w:p>
        </w:tc>
        <w:tc>
          <w:tcPr>
            <w:tcW w:w="1926" w:type="dxa"/>
            <w:vAlign w:val="center"/>
          </w:tcPr>
          <w:p w14:paraId="378468A4" w14:textId="02CE426A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9.1.3B.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&amp; 9.1.6B.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26" w:type="dxa"/>
            <w:vAlign w:val="center"/>
          </w:tcPr>
          <w:p w14:paraId="6DAF309F" w14:textId="5EEEE9E0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9.1.3B.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&amp; 9.1.6B.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926" w:type="dxa"/>
            <w:vAlign w:val="center"/>
          </w:tcPr>
          <w:p w14:paraId="74E923D1" w14:textId="331A0A30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9.1.3B.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&amp; 9.1.6B.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926" w:type="dxa"/>
            <w:vAlign w:val="center"/>
          </w:tcPr>
          <w:p w14:paraId="2F100409" w14:textId="63B9EEC8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9.1.3B.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&amp; 9.1.6B.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</w:tbl>
    <w:p w14:paraId="73055FF8" w14:textId="77777777" w:rsidR="00A155BA" w:rsidRDefault="00A155BA" w:rsidP="00B0627C">
      <w:pPr>
        <w:jc w:val="both"/>
        <w:rPr>
          <w:rFonts w:ascii="Arial" w:hAnsi="Arial" w:cs="Arial"/>
        </w:rPr>
      </w:pPr>
    </w:p>
    <w:p w14:paraId="619C48C6" w14:textId="77777777" w:rsidR="00A155BA" w:rsidRDefault="00A155BA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Where the definition of overlapping and non-overlapping carriers are:</w:t>
      </w:r>
    </w:p>
    <w:p w14:paraId="3FD521DE" w14:textId="2C4AF78E" w:rsidR="00A155BA" w:rsidRDefault="00A155BA" w:rsidP="002E5E71">
      <w:pPr>
        <w:pStyle w:val="ListParagraph"/>
        <w:numPr>
          <w:ilvl w:val="0"/>
          <w:numId w:val="101"/>
        </w:numPr>
        <w:jc w:val="both"/>
        <w:rPr>
          <w:rFonts w:ascii="Arial" w:hAnsi="Arial" w:cs="Arial"/>
        </w:rPr>
      </w:pPr>
      <w:r w:rsidRPr="002E5E71">
        <w:rPr>
          <w:rFonts w:ascii="Arial" w:hAnsi="Arial" w:cs="Arial"/>
        </w:rPr>
        <w:t>Overlapping: a carrier configured by higher layer for early measurement reporting and inter-frequency mobility measurements</w:t>
      </w:r>
      <w:r>
        <w:rPr>
          <w:rFonts w:ascii="Arial" w:hAnsi="Arial" w:cs="Arial"/>
        </w:rPr>
        <w:t>.</w:t>
      </w:r>
    </w:p>
    <w:p w14:paraId="6F073283" w14:textId="4D76BEC1" w:rsidR="00A155BA" w:rsidRPr="002E5E71" w:rsidRDefault="00A155BA" w:rsidP="002E5E71">
      <w:pPr>
        <w:pStyle w:val="ListParagraph"/>
        <w:numPr>
          <w:ilvl w:val="0"/>
          <w:numId w:val="10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Non-overlapping: </w:t>
      </w:r>
      <w:r w:rsidRPr="00A155BA">
        <w:rPr>
          <w:rFonts w:ascii="Arial" w:hAnsi="Arial" w:cs="Arial"/>
        </w:rPr>
        <w:t>a carrier configured by higher layer for early measurement reporting while not configured for inter-frequency mobility measurements.</w:t>
      </w:r>
    </w:p>
    <w:p w14:paraId="388C18C9" w14:textId="43B3603C" w:rsidR="00A52D29" w:rsidRPr="002E5E71" w:rsidRDefault="00A155BA" w:rsidP="00D15A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Besides, TS36.133 Section 4.2.2.9 </w:t>
      </w:r>
      <w:r w:rsidR="00D8556F">
        <w:rPr>
          <w:rFonts w:ascii="Arial" w:hAnsi="Arial" w:cs="Arial"/>
        </w:rPr>
        <w:t xml:space="preserve">specifies </w:t>
      </w:r>
      <w:r>
        <w:rPr>
          <w:rFonts w:ascii="Arial" w:hAnsi="Arial" w:cs="Arial"/>
        </w:rPr>
        <w:t xml:space="preserve">that UE </w:t>
      </w:r>
      <w:r w:rsidRPr="00A155BA">
        <w:rPr>
          <w:rFonts w:ascii="Arial" w:hAnsi="Arial" w:cs="Arial"/>
        </w:rPr>
        <w:t xml:space="preserve">shall be capable of monitoring a total of at least </w:t>
      </w:r>
      <w:r w:rsidRPr="002E5E71">
        <w:rPr>
          <w:rFonts w:ascii="Arial" w:hAnsi="Arial" w:cs="Arial"/>
          <w:highlight w:val="yellow"/>
        </w:rPr>
        <w:t>8</w:t>
      </w:r>
      <w:r w:rsidRPr="00A155BA">
        <w:rPr>
          <w:rFonts w:ascii="Arial" w:hAnsi="Arial" w:cs="Arial"/>
        </w:rPr>
        <w:t xml:space="preserve"> carrier frequency layers</w:t>
      </w:r>
      <w:r>
        <w:rPr>
          <w:rFonts w:ascii="Arial" w:hAnsi="Arial" w:cs="Arial"/>
        </w:rPr>
        <w:t xml:space="preserve"> in </w:t>
      </w:r>
      <w:r w:rsidRPr="00A155BA">
        <w:rPr>
          <w:rFonts w:ascii="Arial" w:hAnsi="Arial" w:cs="Arial"/>
        </w:rPr>
        <w:t>RRC_IDLE state</w:t>
      </w:r>
      <w:r>
        <w:rPr>
          <w:rFonts w:ascii="Arial" w:hAnsi="Arial" w:cs="Arial"/>
        </w:rPr>
        <w:t xml:space="preserve"> mean</w:t>
      </w:r>
      <w:r w:rsidR="004E204C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that, according the current spec, </w:t>
      </w:r>
      <w:r w:rsidRPr="00A155BA">
        <w:rPr>
          <w:rFonts w:ascii="Arial" w:hAnsi="Arial" w:cs="Arial"/>
        </w:rPr>
        <w:t xml:space="preserve">the overall measurement capability </w:t>
      </w:r>
      <w:r>
        <w:rPr>
          <w:rFonts w:ascii="Arial" w:hAnsi="Arial" w:cs="Arial"/>
        </w:rPr>
        <w:t>for UE who support</w:t>
      </w:r>
      <w:r w:rsidR="004E204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IDLE mode CA measurement </w:t>
      </w:r>
      <w:r w:rsidRPr="00A155BA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ay be extended </w:t>
      </w:r>
      <w:r w:rsidR="004E204C">
        <w:rPr>
          <w:rFonts w:ascii="Arial" w:hAnsi="Arial" w:cs="Arial"/>
        </w:rPr>
        <w:t xml:space="preserve">by </w:t>
      </w:r>
      <w:r w:rsidRPr="002E5E71">
        <w:rPr>
          <w:rFonts w:ascii="Arial" w:hAnsi="Arial" w:cs="Arial"/>
          <w:highlight w:val="yellow"/>
        </w:rPr>
        <w:t>1</w:t>
      </w:r>
      <w:r>
        <w:rPr>
          <w:rFonts w:ascii="Arial" w:hAnsi="Arial" w:cs="Arial"/>
        </w:rPr>
        <w:t xml:space="preserve"> carriers (number</w:t>
      </w:r>
      <w:r w:rsidRPr="00A155BA">
        <w:rPr>
          <w:rFonts w:ascii="Arial" w:hAnsi="Arial" w:cs="Arial"/>
        </w:rPr>
        <w:t xml:space="preserve"> of non-overlapping carrier)</w:t>
      </w:r>
      <w:r>
        <w:rPr>
          <w:rFonts w:ascii="Arial" w:hAnsi="Arial" w:cs="Arial"/>
        </w:rPr>
        <w:t>,</w:t>
      </w:r>
      <w:r w:rsidRPr="00A155BA">
        <w:rPr>
          <w:rFonts w:ascii="Arial" w:hAnsi="Arial" w:cs="Arial"/>
        </w:rPr>
        <w:t xml:space="preserve"> compare to the measurement capability specified in </w:t>
      </w:r>
      <w:r w:rsidR="00A52D29">
        <w:rPr>
          <w:rFonts w:ascii="Arial" w:hAnsi="Arial" w:cs="Arial"/>
        </w:rPr>
        <w:t>IDLE</w:t>
      </w:r>
      <w:r w:rsidRPr="00A155BA">
        <w:rPr>
          <w:rFonts w:ascii="Arial" w:hAnsi="Arial" w:cs="Arial"/>
        </w:rPr>
        <w:t xml:space="preserve"> mode cell re-selection</w:t>
      </w:r>
      <w:r>
        <w:rPr>
          <w:rFonts w:ascii="Arial" w:hAnsi="Arial" w:cs="Arial"/>
        </w:rPr>
        <w:t>.</w:t>
      </w:r>
      <w:r w:rsidR="00A52D29">
        <w:rPr>
          <w:rFonts w:ascii="Arial" w:hAnsi="Arial" w:cs="Arial"/>
        </w:rPr>
        <w:t xml:space="preserve"> Here is the example, when UE already monitor</w:t>
      </w:r>
      <w:r w:rsidR="004E204C">
        <w:rPr>
          <w:rFonts w:ascii="Arial" w:hAnsi="Arial" w:cs="Arial"/>
        </w:rPr>
        <w:t>s</w:t>
      </w:r>
      <w:r w:rsidR="00A52D29">
        <w:rPr>
          <w:rFonts w:ascii="Arial" w:hAnsi="Arial" w:cs="Arial"/>
        </w:rPr>
        <w:t xml:space="preserve"> 8</w:t>
      </w:r>
      <w:r w:rsidR="00A52D29" w:rsidRPr="00A52D29">
        <w:t xml:space="preserve"> </w:t>
      </w:r>
      <w:r w:rsidR="00A52D29" w:rsidRPr="00A52D29">
        <w:rPr>
          <w:rFonts w:ascii="Arial" w:hAnsi="Arial" w:cs="Arial"/>
        </w:rPr>
        <w:t>carrier frequency layers in E-UTRA measurements RRC_IDLE state</w:t>
      </w:r>
      <w:r w:rsidR="00A52D29">
        <w:rPr>
          <w:rFonts w:ascii="Arial" w:hAnsi="Arial" w:cs="Arial"/>
        </w:rPr>
        <w:t>, and Network configure</w:t>
      </w:r>
      <w:r w:rsidR="004E204C">
        <w:rPr>
          <w:rFonts w:ascii="Arial" w:hAnsi="Arial" w:cs="Arial"/>
        </w:rPr>
        <w:t>s</w:t>
      </w:r>
      <w:r w:rsidR="00A52D29">
        <w:rPr>
          <w:rFonts w:ascii="Arial" w:hAnsi="Arial" w:cs="Arial"/>
        </w:rPr>
        <w:t xml:space="preserve"> only n</w:t>
      </w:r>
      <w:r w:rsidR="00A52D29" w:rsidRPr="00A52D29">
        <w:rPr>
          <w:rFonts w:ascii="Arial" w:hAnsi="Arial" w:cs="Arial"/>
        </w:rPr>
        <w:t>on-overlapping</w:t>
      </w:r>
      <w:r w:rsidR="00A52D29">
        <w:rPr>
          <w:rFonts w:ascii="Arial" w:hAnsi="Arial" w:cs="Arial"/>
        </w:rPr>
        <w:t xml:space="preserve"> carriers </w:t>
      </w:r>
      <w:r w:rsidR="00A52D29" w:rsidRPr="00A155BA">
        <w:rPr>
          <w:rFonts w:ascii="Arial" w:hAnsi="Arial" w:cs="Arial"/>
        </w:rPr>
        <w:t>for early measurement reporting</w:t>
      </w:r>
      <w:r w:rsidR="00A52D29">
        <w:rPr>
          <w:rFonts w:ascii="Arial" w:hAnsi="Arial" w:cs="Arial"/>
        </w:rPr>
        <w:t xml:space="preserve">. The overall number of monitoring carriers </w:t>
      </w:r>
      <w:r w:rsidR="004E204C">
        <w:rPr>
          <w:rFonts w:ascii="Arial" w:hAnsi="Arial" w:cs="Arial"/>
        </w:rPr>
        <w:t xml:space="preserve">may </w:t>
      </w:r>
      <w:r w:rsidR="00A52D29">
        <w:rPr>
          <w:rFonts w:ascii="Arial" w:hAnsi="Arial" w:cs="Arial"/>
        </w:rPr>
        <w:t>become at least</w:t>
      </w:r>
      <w:r w:rsidR="004E204C">
        <w:rPr>
          <w:rFonts w:ascii="Arial" w:hAnsi="Arial" w:cs="Arial"/>
        </w:rPr>
        <w:t xml:space="preserve"> </w:t>
      </w:r>
      <w:r w:rsidR="004E204C" w:rsidRPr="003409F4">
        <w:rPr>
          <w:rFonts w:ascii="Arial" w:hAnsi="Arial" w:cs="Arial"/>
          <w:highlight w:val="yellow"/>
        </w:rPr>
        <w:t>8</w:t>
      </w:r>
      <w:r w:rsidR="004E204C" w:rsidRPr="00A52D29">
        <w:rPr>
          <w:rFonts w:ascii="Arial" w:hAnsi="Arial" w:cs="Arial"/>
          <w:highlight w:val="yellow"/>
        </w:rPr>
        <w:t>+1 =</w:t>
      </w:r>
      <w:r w:rsidR="004E204C" w:rsidRPr="002E5E71">
        <w:rPr>
          <w:rFonts w:ascii="Arial" w:hAnsi="Arial" w:cs="Arial"/>
          <w:highlight w:val="yellow"/>
        </w:rPr>
        <w:t>9</w:t>
      </w:r>
      <w:r w:rsidR="004E204C">
        <w:rPr>
          <w:rFonts w:ascii="Arial" w:hAnsi="Arial" w:cs="Arial"/>
        </w:rPr>
        <w:t xml:space="preserve"> carriers when </w:t>
      </w:r>
      <w:r w:rsidR="00A52D29" w:rsidRPr="002E5E71">
        <w:rPr>
          <w:rFonts w:ascii="Arial" w:hAnsi="Arial" w:cs="Arial"/>
          <w:szCs w:val="20"/>
        </w:rPr>
        <w:t>S</w:t>
      </w:r>
      <w:r w:rsidR="00A52D29" w:rsidRPr="002E5E71">
        <w:rPr>
          <w:rFonts w:ascii="Arial" w:hAnsi="Arial" w:cs="Arial"/>
          <w:szCs w:val="20"/>
          <w:vertAlign w:val="subscript"/>
        </w:rPr>
        <w:t>rxlev</w:t>
      </w:r>
      <w:r w:rsidR="00A52D29" w:rsidRPr="002E5E71">
        <w:rPr>
          <w:rFonts w:ascii="Arial" w:hAnsi="Arial" w:cs="Arial"/>
          <w:szCs w:val="20"/>
        </w:rPr>
        <w:t xml:space="preserve"> &gt; S</w:t>
      </w:r>
      <w:r w:rsidR="00A52D29" w:rsidRPr="002E5E71">
        <w:rPr>
          <w:rFonts w:ascii="Arial" w:hAnsi="Arial" w:cs="Arial"/>
          <w:szCs w:val="20"/>
          <w:vertAlign w:val="subscript"/>
        </w:rPr>
        <w:t>nonIntraSearchP</w:t>
      </w:r>
      <w:r w:rsidR="00A52D29" w:rsidRPr="002E5E71">
        <w:rPr>
          <w:rFonts w:ascii="Arial" w:hAnsi="Arial" w:cs="Arial"/>
          <w:szCs w:val="20"/>
        </w:rPr>
        <w:t xml:space="preserve"> and S</w:t>
      </w:r>
      <w:r w:rsidR="00A52D29" w:rsidRPr="002E5E71">
        <w:rPr>
          <w:rFonts w:ascii="Arial" w:hAnsi="Arial" w:cs="Arial"/>
          <w:szCs w:val="20"/>
          <w:vertAlign w:val="subscript"/>
        </w:rPr>
        <w:t xml:space="preserve">qual </w:t>
      </w:r>
      <w:r w:rsidR="00A52D29" w:rsidRPr="002E5E71">
        <w:rPr>
          <w:rFonts w:ascii="Arial" w:hAnsi="Arial" w:cs="Arial"/>
          <w:szCs w:val="20"/>
        </w:rPr>
        <w:t>&gt; S</w:t>
      </w:r>
      <w:r w:rsidR="00A52D29" w:rsidRPr="002E5E71">
        <w:rPr>
          <w:rFonts w:ascii="Arial" w:hAnsi="Arial" w:cs="Arial"/>
          <w:szCs w:val="20"/>
          <w:vertAlign w:val="subscript"/>
        </w:rPr>
        <w:t>nonIntraSearchQ</w:t>
      </w:r>
      <w:r w:rsidR="004E204C">
        <w:rPr>
          <w:rFonts w:ascii="Arial" w:hAnsi="Arial" w:cs="Arial"/>
        </w:rPr>
        <w:t xml:space="preserve">. </w:t>
      </w:r>
    </w:p>
    <w:p w14:paraId="71A33AFE" w14:textId="4B651DAF" w:rsidR="00CA33DF" w:rsidRDefault="00CA33DF" w:rsidP="002E5E71">
      <w:pPr>
        <w:pStyle w:val="Caption"/>
        <w:rPr>
          <w:rFonts w:ascii="Arial" w:hAnsi="Arial" w:cs="Arial"/>
          <w:i/>
          <w:sz w:val="22"/>
          <w:szCs w:val="22"/>
        </w:rPr>
      </w:pPr>
      <w:bookmarkStart w:id="7" w:name="_Ref16689764"/>
      <w:r w:rsidRPr="002E5E71">
        <w:rPr>
          <w:rFonts w:ascii="Arial" w:hAnsi="Arial" w:cs="Arial"/>
          <w:i/>
          <w:sz w:val="22"/>
          <w:szCs w:val="22"/>
        </w:rPr>
        <w:lastRenderedPageBreak/>
        <w:t xml:space="preserve">Observation </w:t>
      </w:r>
      <w:r w:rsidRPr="002E5E71">
        <w:rPr>
          <w:rFonts w:ascii="Arial" w:hAnsi="Arial" w:cs="Arial"/>
          <w:i/>
          <w:sz w:val="22"/>
          <w:szCs w:val="22"/>
        </w:rPr>
        <w:fldChar w:fldCharType="begin"/>
      </w:r>
      <w:r w:rsidRPr="002E5E71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2E5E71">
        <w:rPr>
          <w:rFonts w:ascii="Arial" w:hAnsi="Arial" w:cs="Arial"/>
          <w:i/>
          <w:sz w:val="22"/>
          <w:szCs w:val="22"/>
        </w:rPr>
        <w:fldChar w:fldCharType="separate"/>
      </w:r>
      <w:r w:rsidR="00A52D29">
        <w:rPr>
          <w:rFonts w:ascii="Arial" w:hAnsi="Arial" w:cs="Arial"/>
          <w:i/>
          <w:noProof/>
          <w:sz w:val="22"/>
          <w:szCs w:val="22"/>
        </w:rPr>
        <w:t>1</w:t>
      </w:r>
      <w:r w:rsidRPr="002E5E71">
        <w:rPr>
          <w:rFonts w:ascii="Arial" w:hAnsi="Arial" w:cs="Arial"/>
          <w:i/>
          <w:sz w:val="22"/>
          <w:szCs w:val="22"/>
        </w:rPr>
        <w:fldChar w:fldCharType="end"/>
      </w:r>
      <w:r w:rsidRPr="002E5E71">
        <w:rPr>
          <w:rFonts w:ascii="Arial" w:hAnsi="Arial" w:cs="Arial"/>
          <w:i/>
          <w:sz w:val="22"/>
          <w:szCs w:val="22"/>
        </w:rPr>
        <w:t xml:space="preserve">: </w:t>
      </w:r>
      <w:r w:rsidR="00BE4533">
        <w:rPr>
          <w:rFonts w:ascii="Arial" w:hAnsi="Arial" w:cs="Arial"/>
          <w:i/>
          <w:sz w:val="22"/>
          <w:szCs w:val="22"/>
        </w:rPr>
        <w:t>In LTE euCA, C</w:t>
      </w:r>
      <w:r w:rsidRPr="002E5E71">
        <w:rPr>
          <w:rFonts w:ascii="Arial" w:hAnsi="Arial" w:cs="Arial"/>
          <w:i/>
          <w:sz w:val="22"/>
          <w:szCs w:val="22"/>
        </w:rPr>
        <w:t xml:space="preserve">omparing to the measurement capability specified in </w:t>
      </w:r>
      <w:r w:rsidR="00A52D29">
        <w:rPr>
          <w:rFonts w:ascii="Arial" w:hAnsi="Arial" w:cs="Arial"/>
          <w:i/>
          <w:sz w:val="22"/>
          <w:szCs w:val="22"/>
        </w:rPr>
        <w:t>IDLE</w:t>
      </w:r>
      <w:r w:rsidRPr="002E5E71">
        <w:rPr>
          <w:rFonts w:ascii="Arial" w:hAnsi="Arial" w:cs="Arial"/>
          <w:i/>
          <w:sz w:val="22"/>
          <w:szCs w:val="22"/>
        </w:rPr>
        <w:t xml:space="preserve"> mode cell re-selection, for UE which supports IDLE mode CA measurement, the overall measurement capability may be extended for 1 carriers.</w:t>
      </w:r>
      <w:bookmarkEnd w:id="7"/>
    </w:p>
    <w:p w14:paraId="5852D1C1" w14:textId="77777777" w:rsidR="00A52D29" w:rsidRPr="002E5E71" w:rsidRDefault="00A52D29" w:rsidP="002E5E71"/>
    <w:p w14:paraId="4B8A9A3F" w14:textId="411A3F98" w:rsidR="00CA33DF" w:rsidRDefault="00A52D29" w:rsidP="002E5E71">
      <w:pPr>
        <w:pStyle w:val="Caption"/>
      </w:pPr>
      <w:r w:rsidRPr="00A52D29">
        <w:rPr>
          <w:rFonts w:ascii="Arial" w:eastAsiaTheme="minorEastAsia" w:hAnsi="Arial" w:cs="Arial"/>
          <w:b w:val="0"/>
          <w:sz w:val="22"/>
          <w:szCs w:val="22"/>
        </w:rPr>
        <w:t xml:space="preserve">In our understanding, </w:t>
      </w:r>
      <w:r w:rsidR="00BE4533">
        <w:rPr>
          <w:rFonts w:ascii="Arial" w:eastAsiaTheme="minorEastAsia" w:hAnsi="Arial" w:cs="Arial"/>
          <w:b w:val="0"/>
          <w:sz w:val="22"/>
          <w:szCs w:val="22"/>
        </w:rPr>
        <w:t xml:space="preserve">UE power consumption is very important in IDLE mode. Even with </w:t>
      </w:r>
      <w:r w:rsidRPr="002E5E71">
        <w:rPr>
          <w:rFonts w:ascii="Arial" w:eastAsiaTheme="minorEastAsia" w:hAnsi="Arial" w:cs="Arial"/>
          <w:b w:val="0"/>
          <w:sz w:val="22"/>
          <w:szCs w:val="22"/>
        </w:rPr>
        <w:t>IDLE mode CA measurement</w:t>
      </w:r>
      <w:r w:rsidR="00687971">
        <w:rPr>
          <w:rFonts w:ascii="Arial" w:eastAsiaTheme="minorEastAsia" w:hAnsi="Arial" w:cs="Arial"/>
          <w:b w:val="0"/>
          <w:sz w:val="22"/>
          <w:szCs w:val="22"/>
        </w:rPr>
        <w:t xml:space="preserve">, we still prefer </w:t>
      </w:r>
      <w:r>
        <w:rPr>
          <w:rFonts w:ascii="Arial" w:eastAsiaTheme="minorEastAsia" w:hAnsi="Arial" w:cs="Arial"/>
          <w:b w:val="0"/>
          <w:sz w:val="22"/>
          <w:szCs w:val="22"/>
        </w:rPr>
        <w:t>not</w:t>
      </w:r>
      <w:r w:rsidR="00687971">
        <w:rPr>
          <w:rFonts w:ascii="Arial" w:eastAsiaTheme="minorEastAsia" w:hAnsi="Arial" w:cs="Arial"/>
          <w:b w:val="0"/>
          <w:sz w:val="22"/>
          <w:szCs w:val="22"/>
        </w:rPr>
        <w:t xml:space="preserve"> to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increase the </w:t>
      </w:r>
      <w:r w:rsidRPr="00A52D29">
        <w:rPr>
          <w:rFonts w:ascii="Arial" w:eastAsiaTheme="minorEastAsia" w:hAnsi="Arial" w:cs="Arial"/>
          <w:b w:val="0"/>
          <w:sz w:val="22"/>
          <w:szCs w:val="22"/>
        </w:rPr>
        <w:t xml:space="preserve">baseline on UE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IDLE </w:t>
      </w:r>
      <w:r w:rsidRPr="00A52D29">
        <w:rPr>
          <w:rFonts w:ascii="Arial" w:eastAsiaTheme="minorEastAsia" w:hAnsi="Arial" w:cs="Arial"/>
          <w:b w:val="0"/>
          <w:sz w:val="22"/>
          <w:szCs w:val="22"/>
        </w:rPr>
        <w:t>measurement capability</w:t>
      </w:r>
      <w:r w:rsidR="00687971">
        <w:rPr>
          <w:rFonts w:ascii="Arial" w:eastAsiaTheme="minorEastAsia" w:hAnsi="Arial" w:cs="Arial"/>
          <w:b w:val="0"/>
          <w:sz w:val="22"/>
          <w:szCs w:val="22"/>
        </w:rPr>
        <w:t xml:space="preserve"> in Rel-15</w:t>
      </w:r>
      <w:r w:rsidRPr="00A52D29">
        <w:rPr>
          <w:rFonts w:ascii="Arial" w:eastAsiaTheme="minorEastAsia" w:hAnsi="Arial" w:cs="Arial"/>
          <w:b w:val="0"/>
          <w:sz w:val="22"/>
          <w:szCs w:val="22"/>
        </w:rPr>
        <w:t>. Therefore, we suggest</w:t>
      </w:r>
    </w:p>
    <w:p w14:paraId="7AB86A6B" w14:textId="6C985918" w:rsidR="00CA33DF" w:rsidRPr="002E5E71" w:rsidRDefault="00CA33DF" w:rsidP="002E5E71">
      <w:pPr>
        <w:pStyle w:val="Caption"/>
        <w:rPr>
          <w:rFonts w:ascii="Arial" w:hAnsi="Arial" w:cs="Arial"/>
          <w:i/>
          <w:sz w:val="22"/>
          <w:szCs w:val="22"/>
        </w:rPr>
      </w:pPr>
      <w:bookmarkStart w:id="8" w:name="_Ref16690084"/>
      <w:r w:rsidRPr="002E5E71">
        <w:rPr>
          <w:rFonts w:ascii="Arial" w:hAnsi="Arial" w:cs="Arial"/>
          <w:i/>
          <w:sz w:val="22"/>
          <w:szCs w:val="22"/>
        </w:rPr>
        <w:t xml:space="preserve">Proposal </w:t>
      </w:r>
      <w:r w:rsidRPr="002E5E71">
        <w:rPr>
          <w:rFonts w:ascii="Arial" w:hAnsi="Arial" w:cs="Arial"/>
          <w:i/>
          <w:sz w:val="22"/>
          <w:szCs w:val="22"/>
        </w:rPr>
        <w:fldChar w:fldCharType="begin"/>
      </w:r>
      <w:r w:rsidRPr="002E5E7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2E5E71">
        <w:rPr>
          <w:rFonts w:ascii="Arial" w:hAnsi="Arial" w:cs="Arial"/>
          <w:i/>
          <w:sz w:val="22"/>
          <w:szCs w:val="22"/>
        </w:rPr>
        <w:fldChar w:fldCharType="separate"/>
      </w:r>
      <w:r w:rsidR="00A52D29">
        <w:rPr>
          <w:rFonts w:ascii="Arial" w:hAnsi="Arial" w:cs="Arial"/>
          <w:i/>
          <w:noProof/>
          <w:sz w:val="22"/>
          <w:szCs w:val="22"/>
        </w:rPr>
        <w:t>1</w:t>
      </w:r>
      <w:r w:rsidRPr="002E5E71">
        <w:rPr>
          <w:rFonts w:ascii="Arial" w:hAnsi="Arial" w:cs="Arial"/>
          <w:i/>
          <w:sz w:val="22"/>
          <w:szCs w:val="22"/>
        </w:rPr>
        <w:fldChar w:fldCharType="end"/>
      </w:r>
      <w:r w:rsidRPr="002E5E71">
        <w:rPr>
          <w:rFonts w:ascii="Arial" w:hAnsi="Arial" w:cs="Arial"/>
          <w:i/>
          <w:sz w:val="22"/>
          <w:szCs w:val="22"/>
        </w:rPr>
        <w:t xml:space="preserve">: </w:t>
      </w:r>
      <w:r w:rsidR="002E428A">
        <w:rPr>
          <w:rFonts w:ascii="Arial" w:hAnsi="Arial" w:cs="Arial"/>
          <w:i/>
          <w:sz w:val="22"/>
          <w:szCs w:val="22"/>
        </w:rPr>
        <w:t xml:space="preserve">In </w:t>
      </w:r>
      <w:r w:rsidR="005C34DC">
        <w:rPr>
          <w:rFonts w:ascii="Arial" w:hAnsi="Arial" w:cs="Arial"/>
          <w:i/>
          <w:sz w:val="22"/>
          <w:szCs w:val="22"/>
        </w:rPr>
        <w:t>NR</w:t>
      </w:r>
      <w:r w:rsidR="002E428A">
        <w:rPr>
          <w:rFonts w:ascii="Arial" w:hAnsi="Arial" w:cs="Arial"/>
          <w:i/>
          <w:sz w:val="22"/>
          <w:szCs w:val="22"/>
        </w:rPr>
        <w:t xml:space="preserve">, </w:t>
      </w:r>
      <w:r w:rsidR="00A52D29" w:rsidRPr="002E5E71">
        <w:rPr>
          <w:rFonts w:ascii="Arial" w:hAnsi="Arial" w:cs="Arial"/>
          <w:i/>
          <w:sz w:val="22"/>
          <w:szCs w:val="22"/>
        </w:rPr>
        <w:t xml:space="preserve">supporting IDLE/INACTIVE mode CA measurement </w:t>
      </w:r>
      <w:r w:rsidR="00B87457">
        <w:rPr>
          <w:rFonts w:ascii="Arial" w:hAnsi="Arial" w:cs="Arial"/>
          <w:i/>
          <w:sz w:val="22"/>
          <w:szCs w:val="22"/>
        </w:rPr>
        <w:t>should</w:t>
      </w:r>
      <w:r w:rsidR="00B87457" w:rsidRPr="002E5E71">
        <w:rPr>
          <w:rFonts w:ascii="Arial" w:hAnsi="Arial" w:cs="Arial"/>
          <w:i/>
          <w:sz w:val="22"/>
          <w:szCs w:val="22"/>
        </w:rPr>
        <w:t xml:space="preserve"> </w:t>
      </w:r>
      <w:r w:rsidR="00A52D29" w:rsidRPr="002E5E71">
        <w:rPr>
          <w:rFonts w:ascii="Arial" w:hAnsi="Arial" w:cs="Arial"/>
          <w:i/>
          <w:sz w:val="22"/>
          <w:szCs w:val="22"/>
        </w:rPr>
        <w:t>not extend the measurement capability</w:t>
      </w:r>
      <w:r w:rsidR="001B192A">
        <w:rPr>
          <w:rFonts w:ascii="Arial" w:hAnsi="Arial" w:cs="Arial"/>
          <w:i/>
          <w:sz w:val="22"/>
          <w:szCs w:val="22"/>
        </w:rPr>
        <w:t xml:space="preserve"> defined in Rel-15.</w:t>
      </w:r>
      <w:r w:rsidR="001B192A" w:rsidRPr="002E5E71">
        <w:rPr>
          <w:rFonts w:ascii="Arial" w:hAnsi="Arial" w:cs="Arial"/>
          <w:i/>
          <w:sz w:val="22"/>
          <w:szCs w:val="22"/>
        </w:rPr>
        <w:t xml:space="preserve"> </w:t>
      </w:r>
      <w:bookmarkEnd w:id="8"/>
      <w:r w:rsidR="00A52D29" w:rsidRPr="002E5E71" w:rsidDel="00A52D29">
        <w:rPr>
          <w:rFonts w:ascii="Arial" w:hAnsi="Arial" w:cs="Arial"/>
          <w:i/>
          <w:sz w:val="22"/>
          <w:szCs w:val="22"/>
        </w:rPr>
        <w:t xml:space="preserve"> </w:t>
      </w:r>
    </w:p>
    <w:p w14:paraId="4B69D769" w14:textId="1E1B1BA9" w:rsidR="00A155BA" w:rsidRPr="002E5E71" w:rsidRDefault="00CA33DF" w:rsidP="002E5E71">
      <w:pPr>
        <w:pStyle w:val="Caption"/>
        <w:rPr>
          <w:rFonts w:ascii="Arial" w:eastAsiaTheme="minorEastAsia" w:hAnsi="Arial" w:cs="Arial"/>
        </w:rPr>
      </w:pPr>
      <w:r>
        <w:rPr>
          <w:rFonts w:asciiTheme="minorEastAsia" w:eastAsiaTheme="minorEastAsia" w:hAnsiTheme="minorEastAsia" w:hint="eastAsia"/>
        </w:rPr>
        <w:t xml:space="preserve"> </w:t>
      </w:r>
      <w:r>
        <w:t xml:space="preserve"> </w:t>
      </w:r>
    </w:p>
    <w:p w14:paraId="041B1214" w14:textId="65085708" w:rsidR="00A52D29" w:rsidRDefault="00A52D29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then discuss the restrictions on the </w:t>
      </w:r>
      <w:r w:rsidR="00380076">
        <w:rPr>
          <w:rFonts w:ascii="Arial" w:hAnsi="Arial" w:cs="Arial"/>
        </w:rPr>
        <w:t xml:space="preserve">early measurement </w:t>
      </w:r>
      <w:r>
        <w:rPr>
          <w:rFonts w:ascii="Arial" w:hAnsi="Arial" w:cs="Arial"/>
        </w:rPr>
        <w:t xml:space="preserve">reporting, i.e., </w:t>
      </w:r>
      <w:r w:rsidRPr="002E5E71">
        <w:rPr>
          <w:rFonts w:ascii="Arial" w:hAnsi="Arial" w:cs="Arial"/>
        </w:rPr>
        <w:t xml:space="preserve">0 or 1 inter-frequency carrier may be a non-overlapping carrier. </w:t>
      </w:r>
      <w:r>
        <w:rPr>
          <w:rFonts w:ascii="Arial" w:hAnsi="Arial" w:cs="Arial"/>
        </w:rPr>
        <w:t xml:space="preserve">Assuming that </w:t>
      </w:r>
      <w:r w:rsidRPr="00A52D29">
        <w:rPr>
          <w:rFonts w:ascii="Arial" w:hAnsi="Arial" w:cs="Arial"/>
        </w:rPr>
        <w:t>S</w:t>
      </w:r>
      <w:r w:rsidRPr="002E5E71">
        <w:rPr>
          <w:rFonts w:ascii="Arial" w:hAnsi="Arial" w:cs="Arial"/>
          <w:vertAlign w:val="subscript"/>
        </w:rPr>
        <w:t>rxlev</w:t>
      </w:r>
      <w:r w:rsidRPr="00A52D29">
        <w:rPr>
          <w:rFonts w:ascii="Arial" w:hAnsi="Arial" w:cs="Arial"/>
        </w:rPr>
        <w:t xml:space="preserve"> ≤ S</w:t>
      </w:r>
      <w:r w:rsidRPr="002E5E71">
        <w:rPr>
          <w:rFonts w:ascii="Arial" w:hAnsi="Arial" w:cs="Arial"/>
          <w:vertAlign w:val="subscript"/>
        </w:rPr>
        <w:t>nonIntraSearchP</w:t>
      </w:r>
      <w:r>
        <w:rPr>
          <w:rFonts w:ascii="Arial" w:hAnsi="Arial" w:cs="Arial"/>
        </w:rPr>
        <w:t>, and UE is monitoring 8 carriers and the RSRP for these carriers are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as shown in Table 2.  </w:t>
      </w:r>
      <w:r w:rsidRPr="002E5E71">
        <w:rPr>
          <w:rFonts w:ascii="Arial" w:hAnsi="Arial" w:cs="Arial"/>
        </w:rPr>
        <w:t xml:space="preserve"> </w:t>
      </w:r>
    </w:p>
    <w:p w14:paraId="35A23C0A" w14:textId="0CD92F5B" w:rsidR="00A52D29" w:rsidRPr="003409F4" w:rsidRDefault="00A52D29" w:rsidP="00A52D29">
      <w:pPr>
        <w:jc w:val="center"/>
        <w:rPr>
          <w:rFonts w:ascii="Arial" w:hAnsi="Arial" w:cs="Arial"/>
          <w:b/>
        </w:rPr>
      </w:pPr>
      <w:r w:rsidRPr="003409F4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2</w:t>
      </w:r>
      <w:r w:rsidRPr="003409F4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Example of </w:t>
      </w:r>
      <w:r w:rsidRPr="00A52D29">
        <w:rPr>
          <w:rFonts w:ascii="Arial" w:hAnsi="Arial" w:cs="Arial"/>
          <w:b/>
        </w:rPr>
        <w:t>IDLE/INACTIVE mode CA measurement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170"/>
        <w:gridCol w:w="2970"/>
        <w:gridCol w:w="3420"/>
      </w:tblGrid>
      <w:tr w:rsidR="00A52D29" w14:paraId="046117EF" w14:textId="77777777" w:rsidTr="00D15AED">
        <w:trPr>
          <w:trHeight w:val="283"/>
        </w:trPr>
        <w:tc>
          <w:tcPr>
            <w:tcW w:w="1170" w:type="dxa"/>
            <w:vAlign w:val="center"/>
          </w:tcPr>
          <w:p w14:paraId="1BEB6133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2FFC9BAC" w14:textId="3B4972FA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  <w:r>
              <w:rPr>
                <w:rFonts w:ascii="Arial" w:hAnsi="Arial" w:cs="Arial"/>
                <w:sz w:val="20"/>
                <w:szCs w:val="20"/>
              </w:rPr>
              <w:t xml:space="preserve"> carriers</w:t>
            </w:r>
          </w:p>
        </w:tc>
        <w:tc>
          <w:tcPr>
            <w:tcW w:w="3420" w:type="dxa"/>
            <w:vAlign w:val="center"/>
          </w:tcPr>
          <w:p w14:paraId="08ECED87" w14:textId="1B82FCEE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  <w:r>
              <w:rPr>
                <w:rFonts w:ascii="Arial" w:hAnsi="Arial" w:cs="Arial"/>
                <w:sz w:val="20"/>
                <w:szCs w:val="20"/>
              </w:rPr>
              <w:t xml:space="preserve"> carriers</w:t>
            </w:r>
          </w:p>
        </w:tc>
      </w:tr>
      <w:tr w:rsidR="00A52D29" w14:paraId="144A332B" w14:textId="77777777" w:rsidTr="00D15AED">
        <w:trPr>
          <w:trHeight w:val="283"/>
        </w:trPr>
        <w:tc>
          <w:tcPr>
            <w:tcW w:w="1170" w:type="dxa"/>
            <w:vMerge w:val="restart"/>
            <w:vAlign w:val="center"/>
          </w:tcPr>
          <w:p w14:paraId="1BDFCEAB" w14:textId="1779FBC9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E71">
              <w:rPr>
                <w:rFonts w:ascii="Arial" w:hAnsi="Arial" w:cs="Arial"/>
                <w:sz w:val="20"/>
                <w:szCs w:val="20"/>
              </w:rPr>
              <w:t>RSRP Ranking</w:t>
            </w:r>
          </w:p>
        </w:tc>
        <w:tc>
          <w:tcPr>
            <w:tcW w:w="2970" w:type="dxa"/>
            <w:vAlign w:val="center"/>
          </w:tcPr>
          <w:p w14:paraId="74083B5A" w14:textId="0999EA8F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FF0000"/>
                <w:sz w:val="20"/>
                <w:szCs w:val="20"/>
              </w:rPr>
              <w:t>F1</w:t>
            </w:r>
            <w:r w:rsidRPr="002E5E71">
              <w:rPr>
                <w:rFonts w:ascii="Arial" w:hAnsi="Arial" w:cs="Arial"/>
                <w:sz w:val="20"/>
                <w:szCs w:val="20"/>
              </w:rPr>
              <w:t>: -82dBm</w:t>
            </w:r>
          </w:p>
        </w:tc>
        <w:tc>
          <w:tcPr>
            <w:tcW w:w="3420" w:type="dxa"/>
            <w:vAlign w:val="center"/>
          </w:tcPr>
          <w:p w14:paraId="7AD9E59A" w14:textId="156E188E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F4</w:t>
            </w:r>
            <w:r w:rsidRPr="002E5E71">
              <w:rPr>
                <w:rFonts w:ascii="Arial" w:hAnsi="Arial" w:cs="Arial"/>
                <w:sz w:val="20"/>
                <w:szCs w:val="20"/>
              </w:rPr>
              <w:t>: -90dBm</w:t>
            </w:r>
          </w:p>
        </w:tc>
      </w:tr>
      <w:tr w:rsidR="00A52D29" w14:paraId="2711341C" w14:textId="77777777" w:rsidTr="00D15AED">
        <w:trPr>
          <w:trHeight w:val="283"/>
        </w:trPr>
        <w:tc>
          <w:tcPr>
            <w:tcW w:w="1170" w:type="dxa"/>
            <w:vMerge/>
            <w:vAlign w:val="center"/>
          </w:tcPr>
          <w:p w14:paraId="7D99B396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0C8B7FD3" w14:textId="6A2FBE95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FF0000"/>
                <w:sz w:val="20"/>
                <w:szCs w:val="20"/>
              </w:rPr>
              <w:t>F2</w:t>
            </w:r>
            <w:r w:rsidRPr="002E5E71">
              <w:rPr>
                <w:rFonts w:ascii="Arial" w:hAnsi="Arial" w:cs="Arial"/>
                <w:sz w:val="20"/>
                <w:szCs w:val="20"/>
              </w:rPr>
              <w:t>: -86dBm</w:t>
            </w:r>
          </w:p>
        </w:tc>
        <w:tc>
          <w:tcPr>
            <w:tcW w:w="3420" w:type="dxa"/>
            <w:vAlign w:val="center"/>
          </w:tcPr>
          <w:p w14:paraId="5EB37EB8" w14:textId="3BB0BE8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F5</w:t>
            </w:r>
            <w:r w:rsidRPr="002E5E71">
              <w:rPr>
                <w:rFonts w:ascii="Arial" w:hAnsi="Arial" w:cs="Arial"/>
                <w:sz w:val="20"/>
                <w:szCs w:val="20"/>
              </w:rPr>
              <w:t>: -91dBm</w:t>
            </w:r>
          </w:p>
        </w:tc>
      </w:tr>
      <w:tr w:rsidR="00A52D29" w14:paraId="04131495" w14:textId="77777777" w:rsidTr="00D15AED">
        <w:trPr>
          <w:trHeight w:val="283"/>
        </w:trPr>
        <w:tc>
          <w:tcPr>
            <w:tcW w:w="1170" w:type="dxa"/>
            <w:vMerge/>
            <w:vAlign w:val="center"/>
          </w:tcPr>
          <w:p w14:paraId="5A08D2CA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1F8B6733" w14:textId="73E2B26C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FF0000"/>
                <w:sz w:val="20"/>
                <w:szCs w:val="20"/>
              </w:rPr>
              <w:t>F3</w:t>
            </w:r>
            <w:r w:rsidRPr="002E5E71">
              <w:rPr>
                <w:rFonts w:ascii="Arial" w:hAnsi="Arial" w:cs="Arial"/>
                <w:sz w:val="20"/>
                <w:szCs w:val="20"/>
              </w:rPr>
              <w:t>: -89dBm</w:t>
            </w:r>
          </w:p>
        </w:tc>
        <w:tc>
          <w:tcPr>
            <w:tcW w:w="3420" w:type="dxa"/>
            <w:vAlign w:val="center"/>
          </w:tcPr>
          <w:p w14:paraId="4202E4DF" w14:textId="068A0AB4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F6</w:t>
            </w:r>
            <w:r w:rsidRPr="002E5E71">
              <w:rPr>
                <w:rFonts w:ascii="Arial" w:hAnsi="Arial" w:cs="Arial"/>
                <w:sz w:val="20"/>
                <w:szCs w:val="20"/>
              </w:rPr>
              <w:t>: -93dBm</w:t>
            </w:r>
          </w:p>
        </w:tc>
      </w:tr>
      <w:tr w:rsidR="00A52D29" w14:paraId="451440ED" w14:textId="77777777" w:rsidTr="00D15AED">
        <w:trPr>
          <w:trHeight w:val="283"/>
        </w:trPr>
        <w:tc>
          <w:tcPr>
            <w:tcW w:w="1170" w:type="dxa"/>
            <w:vMerge/>
            <w:vAlign w:val="center"/>
          </w:tcPr>
          <w:p w14:paraId="068B3DC8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26CDCCAB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Align w:val="center"/>
          </w:tcPr>
          <w:p w14:paraId="403179A3" w14:textId="78C93DB4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F7</w:t>
            </w:r>
            <w:r w:rsidRPr="002E5E71">
              <w:rPr>
                <w:rFonts w:ascii="Arial" w:hAnsi="Arial" w:cs="Arial"/>
                <w:sz w:val="20"/>
                <w:szCs w:val="20"/>
              </w:rPr>
              <w:t>: -95dBm</w:t>
            </w:r>
          </w:p>
        </w:tc>
      </w:tr>
      <w:tr w:rsidR="00A52D29" w14:paraId="215B5AA5" w14:textId="77777777" w:rsidTr="00D15AED">
        <w:trPr>
          <w:trHeight w:val="283"/>
        </w:trPr>
        <w:tc>
          <w:tcPr>
            <w:tcW w:w="1170" w:type="dxa"/>
            <w:vMerge/>
            <w:vAlign w:val="center"/>
          </w:tcPr>
          <w:p w14:paraId="6B095C3D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61246E45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Align w:val="center"/>
          </w:tcPr>
          <w:p w14:paraId="4DA72C4D" w14:textId="5B5129EF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F8</w:t>
            </w:r>
            <w:r w:rsidRPr="002E5E71">
              <w:rPr>
                <w:rFonts w:ascii="Arial" w:hAnsi="Arial" w:cs="Arial"/>
                <w:sz w:val="20"/>
                <w:szCs w:val="20"/>
              </w:rPr>
              <w:t>: -97dBm</w:t>
            </w:r>
          </w:p>
        </w:tc>
      </w:tr>
    </w:tbl>
    <w:p w14:paraId="5BE0967D" w14:textId="77777777" w:rsidR="00A52D29" w:rsidRDefault="00A52D29" w:rsidP="00B0627C">
      <w:pPr>
        <w:jc w:val="both"/>
        <w:rPr>
          <w:rFonts w:ascii="Arial" w:hAnsi="Arial" w:cs="Arial"/>
        </w:rPr>
      </w:pPr>
    </w:p>
    <w:p w14:paraId="1C163969" w14:textId="6F08E00C" w:rsidR="00A52D29" w:rsidRDefault="00062CB3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Since UE can only report </w:t>
      </w:r>
      <w:r w:rsidR="00AE47CD">
        <w:rPr>
          <w:rFonts w:ascii="Arial" w:hAnsi="Arial" w:cs="Arial"/>
        </w:rPr>
        <w:t>0 or</w:t>
      </w:r>
      <w:r>
        <w:rPr>
          <w:rFonts w:ascii="Arial" w:hAnsi="Arial" w:cs="Arial"/>
        </w:rPr>
        <w:t xml:space="preserve"> 1 carrier from the set of non-overlapping carrier</w:t>
      </w:r>
      <w:r w:rsidR="00A52D29">
        <w:rPr>
          <w:rFonts w:ascii="Arial" w:hAnsi="Arial" w:cs="Arial"/>
        </w:rPr>
        <w:t>, UE may report:</w:t>
      </w:r>
    </w:p>
    <w:p w14:paraId="12415CC2" w14:textId="0B7355B8" w:rsidR="00190C39" w:rsidRDefault="00A52D29" w:rsidP="002E5E71">
      <w:pPr>
        <w:pStyle w:val="ListParagraph"/>
        <w:numPr>
          <w:ilvl w:val="0"/>
          <w:numId w:val="10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“1” </w:t>
      </w:r>
      <w:r w:rsidRPr="00A52D29">
        <w:rPr>
          <w:rFonts w:ascii="Arial" w:hAnsi="Arial" w:cs="Arial"/>
        </w:rPr>
        <w:t>non-overlapping carrier</w:t>
      </w:r>
      <w:r w:rsidR="00190C39">
        <w:rPr>
          <w:rFonts w:ascii="Arial" w:hAnsi="Arial" w:cs="Arial"/>
        </w:rPr>
        <w:t xml:space="preserve">, e.g., </w:t>
      </w:r>
      <w:r>
        <w:rPr>
          <w:rFonts w:ascii="Arial" w:hAnsi="Arial" w:cs="Arial"/>
        </w:rPr>
        <w:t xml:space="preserve">UE reports </w:t>
      </w:r>
      <w:r w:rsidRPr="00D15AED">
        <w:rPr>
          <w:rFonts w:ascii="Arial" w:hAnsi="Arial" w:cs="Arial"/>
          <w:color w:val="FF0000"/>
        </w:rPr>
        <w:t>F1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0000FF"/>
        </w:rPr>
        <w:t>F4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0000FF"/>
        </w:rPr>
        <w:t>F5</w:t>
      </w:r>
      <w:r>
        <w:rPr>
          <w:rFonts w:ascii="Arial" w:hAnsi="Arial" w:cs="Arial"/>
        </w:rPr>
        <w:t xml:space="preserve">. </w:t>
      </w:r>
    </w:p>
    <w:p w14:paraId="64FD86E6" w14:textId="62AC334E" w:rsidR="00A52D29" w:rsidRDefault="00A52D29" w:rsidP="00D15AED">
      <w:pPr>
        <w:pStyle w:val="ListParagraph"/>
        <w:numPr>
          <w:ilvl w:val="1"/>
          <w:numId w:val="103"/>
        </w:numPr>
        <w:jc w:val="both"/>
        <w:rPr>
          <w:rFonts w:ascii="Arial" w:hAnsi="Arial" w:cs="Arial"/>
        </w:rPr>
      </w:pPr>
      <w:r w:rsidRPr="00D15AED">
        <w:rPr>
          <w:rFonts w:ascii="Arial" w:hAnsi="Arial" w:cs="Arial"/>
          <w:color w:val="FF0000"/>
        </w:rPr>
        <w:t>F2</w:t>
      </w:r>
      <w:r w:rsidRPr="00A52D29">
        <w:rPr>
          <w:rFonts w:ascii="Arial" w:hAnsi="Arial" w:cs="Arial"/>
        </w:rPr>
        <w:t xml:space="preserve"> and </w:t>
      </w:r>
      <w:r w:rsidRPr="00D15AED">
        <w:rPr>
          <w:rFonts w:ascii="Arial" w:hAnsi="Arial" w:cs="Arial"/>
          <w:color w:val="FF0000"/>
        </w:rPr>
        <w:t>F3</w:t>
      </w:r>
      <w:r w:rsidRPr="00A52D29">
        <w:rPr>
          <w:rFonts w:ascii="Arial" w:hAnsi="Arial" w:cs="Arial"/>
        </w:rPr>
        <w:t xml:space="preserve"> with higher RSRPs </w:t>
      </w:r>
      <w:r w:rsidR="0049488A">
        <w:rPr>
          <w:rFonts w:ascii="Arial" w:hAnsi="Arial" w:cs="Arial"/>
        </w:rPr>
        <w:t xml:space="preserve">than all overlapping carriers </w:t>
      </w:r>
      <w:r w:rsidRPr="00A52D29">
        <w:rPr>
          <w:rFonts w:ascii="Arial" w:hAnsi="Arial" w:cs="Arial"/>
        </w:rPr>
        <w:t>are not reported</w:t>
      </w:r>
      <w:r>
        <w:rPr>
          <w:rFonts w:ascii="Arial" w:hAnsi="Arial" w:cs="Arial"/>
        </w:rPr>
        <w:t>.</w:t>
      </w:r>
    </w:p>
    <w:p w14:paraId="163DF420" w14:textId="5A7918AF" w:rsidR="00190C39" w:rsidRDefault="00A52D29" w:rsidP="00A52D29">
      <w:pPr>
        <w:pStyle w:val="ListParagraph"/>
        <w:numPr>
          <w:ilvl w:val="0"/>
          <w:numId w:val="10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“0” </w:t>
      </w:r>
      <w:r w:rsidRPr="00A52D29">
        <w:rPr>
          <w:rFonts w:ascii="Arial" w:hAnsi="Arial" w:cs="Arial"/>
        </w:rPr>
        <w:t>non-overlapping carrier</w:t>
      </w:r>
      <w:r w:rsidR="00190C39">
        <w:rPr>
          <w:rFonts w:ascii="Arial" w:hAnsi="Arial" w:cs="Arial"/>
        </w:rPr>
        <w:t xml:space="preserve">, e.g., </w:t>
      </w:r>
      <w:r>
        <w:rPr>
          <w:rFonts w:ascii="Arial" w:hAnsi="Arial" w:cs="Arial"/>
        </w:rPr>
        <w:t xml:space="preserve">UE reports </w:t>
      </w:r>
      <w:r w:rsidRPr="00D15AED">
        <w:rPr>
          <w:rFonts w:ascii="Arial" w:hAnsi="Arial" w:cs="Arial"/>
          <w:color w:val="0000FF"/>
        </w:rPr>
        <w:t>F4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0000FF"/>
        </w:rPr>
        <w:t>F5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0000FF"/>
        </w:rPr>
        <w:t>F6</w:t>
      </w:r>
      <w:r>
        <w:rPr>
          <w:rFonts w:ascii="Arial" w:hAnsi="Arial" w:cs="Arial"/>
        </w:rPr>
        <w:t xml:space="preserve">. </w:t>
      </w:r>
    </w:p>
    <w:p w14:paraId="32C1084A" w14:textId="72B4DD3E" w:rsidR="00A52D29" w:rsidRDefault="00A52D29" w:rsidP="00D15AED">
      <w:pPr>
        <w:pStyle w:val="ListParagraph"/>
        <w:numPr>
          <w:ilvl w:val="1"/>
          <w:numId w:val="103"/>
        </w:numPr>
        <w:jc w:val="both"/>
        <w:rPr>
          <w:rFonts w:ascii="Arial" w:hAnsi="Arial" w:cs="Arial"/>
        </w:rPr>
      </w:pPr>
      <w:r w:rsidRPr="00D15AED">
        <w:rPr>
          <w:rFonts w:ascii="Arial" w:hAnsi="Arial" w:cs="Arial"/>
          <w:color w:val="FF0000"/>
        </w:rPr>
        <w:t>F1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FF0000"/>
        </w:rPr>
        <w:t>F2</w:t>
      </w:r>
      <w:r w:rsidRPr="00A52D29">
        <w:rPr>
          <w:rFonts w:ascii="Arial" w:hAnsi="Arial" w:cs="Arial"/>
        </w:rPr>
        <w:t xml:space="preserve"> and </w:t>
      </w:r>
      <w:r w:rsidRPr="00D15AED">
        <w:rPr>
          <w:rFonts w:ascii="Arial" w:hAnsi="Arial" w:cs="Arial"/>
          <w:color w:val="FF0000"/>
        </w:rPr>
        <w:t>F3</w:t>
      </w:r>
      <w:r w:rsidRPr="00A52D29">
        <w:rPr>
          <w:rFonts w:ascii="Arial" w:hAnsi="Arial" w:cs="Arial"/>
        </w:rPr>
        <w:t xml:space="preserve"> with higher RSRPs </w:t>
      </w:r>
      <w:r w:rsidR="0049488A">
        <w:rPr>
          <w:rFonts w:ascii="Arial" w:hAnsi="Arial" w:cs="Arial"/>
        </w:rPr>
        <w:t xml:space="preserve">than all overlapping carriers </w:t>
      </w:r>
      <w:r w:rsidRPr="00A52D29">
        <w:rPr>
          <w:rFonts w:ascii="Arial" w:hAnsi="Arial" w:cs="Arial"/>
        </w:rPr>
        <w:t>are not reported</w:t>
      </w:r>
      <w:r>
        <w:rPr>
          <w:rFonts w:ascii="Arial" w:hAnsi="Arial" w:cs="Arial"/>
        </w:rPr>
        <w:t>.</w:t>
      </w:r>
    </w:p>
    <w:p w14:paraId="696A5AC9" w14:textId="3B81F714" w:rsidR="00A52D29" w:rsidRDefault="00413C40" w:rsidP="002E5E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our understanding, this is strange that UE cannot report the carrier with better RSRP to network. </w:t>
      </w:r>
      <w:r w:rsidR="00A52D29">
        <w:rPr>
          <w:rFonts w:ascii="Arial" w:hAnsi="Arial" w:cs="Arial"/>
        </w:rPr>
        <w:t xml:space="preserve">Therefore, we suggest </w:t>
      </w:r>
      <w:r w:rsidR="00BC12FE">
        <w:rPr>
          <w:rFonts w:ascii="Arial" w:hAnsi="Arial" w:cs="Arial"/>
        </w:rPr>
        <w:t xml:space="preserve">to remove such </w:t>
      </w:r>
      <w:r w:rsidR="00A52D29">
        <w:rPr>
          <w:rFonts w:ascii="Arial" w:hAnsi="Arial" w:cs="Arial"/>
        </w:rPr>
        <w:t>restrict</w:t>
      </w:r>
      <w:r w:rsidR="00BC12FE">
        <w:rPr>
          <w:rFonts w:ascii="Arial" w:hAnsi="Arial" w:cs="Arial"/>
        </w:rPr>
        <w:t>ion</w:t>
      </w:r>
      <w:r w:rsidR="00A52D29">
        <w:rPr>
          <w:rFonts w:ascii="Arial" w:hAnsi="Arial" w:cs="Arial"/>
        </w:rPr>
        <w:t xml:space="preserve"> and propose</w:t>
      </w:r>
    </w:p>
    <w:p w14:paraId="6A457867" w14:textId="26934A33" w:rsidR="00A52D29" w:rsidRPr="002E5E71" w:rsidRDefault="00A52D29" w:rsidP="002E5E71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16690090"/>
      <w:r w:rsidRPr="002E5E71">
        <w:rPr>
          <w:rFonts w:ascii="Arial" w:hAnsi="Arial" w:cs="Arial"/>
          <w:i/>
          <w:sz w:val="22"/>
          <w:szCs w:val="22"/>
        </w:rPr>
        <w:t xml:space="preserve">Proposal </w:t>
      </w:r>
      <w:r w:rsidRPr="002E5E71">
        <w:rPr>
          <w:rFonts w:ascii="Arial" w:hAnsi="Arial" w:cs="Arial"/>
          <w:i/>
          <w:sz w:val="22"/>
          <w:szCs w:val="22"/>
        </w:rPr>
        <w:fldChar w:fldCharType="begin"/>
      </w:r>
      <w:r w:rsidRPr="002E5E7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2E5E71">
        <w:rPr>
          <w:rFonts w:ascii="Arial" w:hAnsi="Arial" w:cs="Arial"/>
          <w:i/>
          <w:sz w:val="22"/>
          <w:szCs w:val="22"/>
        </w:rPr>
        <w:fldChar w:fldCharType="separate"/>
      </w:r>
      <w:r>
        <w:rPr>
          <w:rFonts w:ascii="Arial" w:hAnsi="Arial" w:cs="Arial"/>
          <w:i/>
          <w:noProof/>
          <w:sz w:val="22"/>
          <w:szCs w:val="22"/>
        </w:rPr>
        <w:t>2</w:t>
      </w:r>
      <w:r w:rsidRPr="002E5E71">
        <w:rPr>
          <w:rFonts w:ascii="Arial" w:hAnsi="Arial" w:cs="Arial"/>
          <w:i/>
          <w:sz w:val="22"/>
          <w:szCs w:val="22"/>
        </w:rPr>
        <w:fldChar w:fldCharType="end"/>
      </w:r>
      <w:r w:rsidRPr="002E5E71">
        <w:rPr>
          <w:rFonts w:ascii="Arial" w:hAnsi="Arial" w:cs="Arial"/>
          <w:i/>
          <w:sz w:val="22"/>
          <w:szCs w:val="22"/>
        </w:rPr>
        <w:t xml:space="preserve">: </w:t>
      </w:r>
      <w:r w:rsidR="00B44440">
        <w:rPr>
          <w:rFonts w:ascii="Arial" w:hAnsi="Arial" w:cs="Arial"/>
          <w:i/>
          <w:sz w:val="22"/>
          <w:szCs w:val="22"/>
        </w:rPr>
        <w:t xml:space="preserve">In NR, </w:t>
      </w:r>
      <w:r w:rsidRPr="002E5E71">
        <w:rPr>
          <w:rFonts w:ascii="Arial" w:hAnsi="Arial" w:cs="Arial"/>
          <w:i/>
          <w:sz w:val="22"/>
          <w:szCs w:val="22"/>
        </w:rPr>
        <w:t xml:space="preserve">RAN4 to remove the restriction </w:t>
      </w:r>
      <w:r w:rsidRPr="00A52D29">
        <w:rPr>
          <w:rFonts w:ascii="Arial" w:hAnsi="Arial" w:cs="Arial"/>
          <w:i/>
          <w:sz w:val="22"/>
          <w:szCs w:val="22"/>
        </w:rPr>
        <w:t xml:space="preserve">on the number of overlapping and non-overlapping carriers </w:t>
      </w:r>
      <w:r w:rsidR="00A103AE">
        <w:rPr>
          <w:rFonts w:ascii="Arial" w:hAnsi="Arial" w:cs="Arial"/>
          <w:i/>
          <w:sz w:val="22"/>
          <w:szCs w:val="22"/>
        </w:rPr>
        <w:t>in early</w:t>
      </w:r>
      <w:r w:rsidRPr="003409F4">
        <w:rPr>
          <w:rFonts w:ascii="Arial" w:hAnsi="Arial" w:cs="Arial"/>
          <w:i/>
          <w:sz w:val="22"/>
          <w:szCs w:val="22"/>
        </w:rPr>
        <w:t xml:space="preserve"> measurement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A103AE">
        <w:rPr>
          <w:rFonts w:ascii="Arial" w:hAnsi="Arial" w:cs="Arial"/>
          <w:i/>
          <w:sz w:val="22"/>
          <w:szCs w:val="22"/>
        </w:rPr>
        <w:t xml:space="preserve">reporting </w:t>
      </w:r>
      <w:r>
        <w:rPr>
          <w:rFonts w:ascii="Arial" w:hAnsi="Arial" w:cs="Arial"/>
          <w:i/>
          <w:sz w:val="22"/>
          <w:szCs w:val="22"/>
        </w:rPr>
        <w:t>and only specify the total number of</w:t>
      </w:r>
      <w:r w:rsidRPr="002E5E71">
        <w:rPr>
          <w:rFonts w:ascii="Arial" w:hAnsi="Arial" w:cs="Arial"/>
          <w:i/>
          <w:sz w:val="22"/>
          <w:szCs w:val="22"/>
        </w:rPr>
        <w:t xml:space="preserve"> carriers</w:t>
      </w:r>
      <w:r>
        <w:rPr>
          <w:rFonts w:ascii="Arial" w:hAnsi="Arial" w:cs="Arial"/>
          <w:i/>
          <w:sz w:val="22"/>
          <w:szCs w:val="22"/>
        </w:rPr>
        <w:t>.</w:t>
      </w:r>
      <w:bookmarkEnd w:id="9"/>
    </w:p>
    <w:p w14:paraId="0D52D061" w14:textId="77777777" w:rsidR="00A52D29" w:rsidRPr="002E5E71" w:rsidRDefault="00A52D29" w:rsidP="002E5E71">
      <w:pPr>
        <w:pStyle w:val="ListParagraph"/>
        <w:ind w:left="284"/>
        <w:jc w:val="both"/>
        <w:rPr>
          <w:rFonts w:ascii="Arial" w:hAnsi="Arial" w:cs="Arial"/>
        </w:rPr>
      </w:pPr>
    </w:p>
    <w:p w14:paraId="27E881CA" w14:textId="39531632" w:rsidR="00A52D29" w:rsidRDefault="00A52D29" w:rsidP="00B0627C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</w:rPr>
        <w:lastRenderedPageBreak/>
        <w:t xml:space="preserve">We also notice that based on the current spec, UE monitors more carriers for IDLE mode CA measurement when one of the serving cell signal quality is no larger than a certain threshold, i.e., </w:t>
      </w:r>
      <w:r w:rsidRPr="002E5E71">
        <w:rPr>
          <w:rFonts w:ascii="Arial" w:hAnsi="Arial" w:cs="Arial"/>
          <w:szCs w:val="20"/>
        </w:rPr>
        <w:t>S</w:t>
      </w:r>
      <w:r w:rsidRPr="002E5E71">
        <w:rPr>
          <w:rFonts w:ascii="Arial" w:hAnsi="Arial" w:cs="Arial"/>
          <w:szCs w:val="20"/>
          <w:vertAlign w:val="subscript"/>
        </w:rPr>
        <w:t>rxlev</w:t>
      </w:r>
      <w:r w:rsidRPr="002E5E71">
        <w:rPr>
          <w:rFonts w:ascii="Arial" w:hAnsi="Arial" w:cs="Arial"/>
          <w:szCs w:val="20"/>
        </w:rPr>
        <w:t xml:space="preserve"> ≤ S</w:t>
      </w:r>
      <w:r w:rsidRPr="002E5E71">
        <w:rPr>
          <w:rFonts w:ascii="Arial" w:hAnsi="Arial" w:cs="Arial"/>
          <w:szCs w:val="20"/>
          <w:vertAlign w:val="subscript"/>
        </w:rPr>
        <w:t>nonIntraSearchP</w:t>
      </w:r>
      <w:r w:rsidRPr="002E5E71">
        <w:rPr>
          <w:rFonts w:ascii="Arial" w:hAnsi="Arial" w:cs="Arial"/>
          <w:szCs w:val="20"/>
        </w:rPr>
        <w:t xml:space="preserve"> or S</w:t>
      </w:r>
      <w:r w:rsidRPr="002E5E71">
        <w:rPr>
          <w:rFonts w:ascii="Arial" w:hAnsi="Arial" w:cs="Arial"/>
          <w:szCs w:val="20"/>
          <w:vertAlign w:val="subscript"/>
        </w:rPr>
        <w:t>qual</w:t>
      </w:r>
      <w:r w:rsidRPr="002E5E71">
        <w:rPr>
          <w:rFonts w:ascii="Arial" w:hAnsi="Arial" w:cs="Arial"/>
          <w:szCs w:val="20"/>
        </w:rPr>
        <w:t xml:space="preserve"> ≤ S</w:t>
      </w:r>
      <w:r w:rsidRPr="002E5E71">
        <w:rPr>
          <w:rFonts w:ascii="Arial" w:hAnsi="Arial" w:cs="Arial"/>
          <w:szCs w:val="20"/>
          <w:vertAlign w:val="subscript"/>
        </w:rPr>
        <w:t>nonIntraSearchQ</w:t>
      </w:r>
      <w:r>
        <w:rPr>
          <w:rFonts w:ascii="Arial" w:hAnsi="Arial" w:cs="Arial"/>
          <w:sz w:val="24"/>
        </w:rPr>
        <w:t xml:space="preserve">. </w:t>
      </w:r>
    </w:p>
    <w:p w14:paraId="178384CA" w14:textId="77777777" w:rsidR="00A52D29" w:rsidRPr="003409F4" w:rsidRDefault="00A52D29" w:rsidP="00A52D29">
      <w:pPr>
        <w:pStyle w:val="Caption"/>
        <w:rPr>
          <w:rFonts w:ascii="Arial" w:hAnsi="Arial" w:cs="Arial"/>
          <w:i/>
          <w:sz w:val="22"/>
          <w:szCs w:val="22"/>
        </w:rPr>
      </w:pPr>
      <w:bookmarkStart w:id="10" w:name="_Ref16690064"/>
      <w:r w:rsidRPr="003409F4">
        <w:rPr>
          <w:rFonts w:ascii="Arial" w:hAnsi="Arial" w:cs="Arial"/>
          <w:i/>
          <w:sz w:val="22"/>
          <w:szCs w:val="22"/>
        </w:rPr>
        <w:t xml:space="preserve">Observation </w:t>
      </w:r>
      <w:r w:rsidRPr="003409F4">
        <w:rPr>
          <w:rFonts w:ascii="Arial" w:hAnsi="Arial" w:cs="Arial"/>
          <w:i/>
          <w:sz w:val="22"/>
          <w:szCs w:val="22"/>
        </w:rPr>
        <w:fldChar w:fldCharType="begin"/>
      </w:r>
      <w:r w:rsidRPr="003409F4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3409F4">
        <w:rPr>
          <w:rFonts w:ascii="Arial" w:hAnsi="Arial" w:cs="Arial"/>
          <w:i/>
          <w:sz w:val="22"/>
          <w:szCs w:val="22"/>
        </w:rPr>
        <w:fldChar w:fldCharType="separate"/>
      </w:r>
      <w:r w:rsidRPr="003409F4">
        <w:rPr>
          <w:rFonts w:ascii="Arial" w:hAnsi="Arial" w:cs="Arial"/>
          <w:i/>
          <w:sz w:val="22"/>
          <w:szCs w:val="22"/>
        </w:rPr>
        <w:t>2</w:t>
      </w:r>
      <w:r w:rsidRPr="003409F4">
        <w:rPr>
          <w:rFonts w:ascii="Arial" w:hAnsi="Arial" w:cs="Arial"/>
          <w:i/>
          <w:sz w:val="22"/>
          <w:szCs w:val="22"/>
        </w:rPr>
        <w:fldChar w:fldCharType="end"/>
      </w:r>
      <w:r w:rsidRPr="003409F4">
        <w:rPr>
          <w:rFonts w:ascii="Arial" w:hAnsi="Arial" w:cs="Arial"/>
          <w:i/>
          <w:sz w:val="22"/>
          <w:szCs w:val="22"/>
        </w:rPr>
        <w:t>: UE monitors more carriers for IDLE mode CA measurement when one of the serving cell signal quality is no larger than a certain threshold</w:t>
      </w:r>
      <w:r>
        <w:rPr>
          <w:rFonts w:ascii="Arial" w:hAnsi="Arial" w:cs="Arial"/>
          <w:i/>
          <w:sz w:val="22"/>
          <w:szCs w:val="22"/>
        </w:rPr>
        <w:t>.</w:t>
      </w:r>
      <w:bookmarkEnd w:id="10"/>
    </w:p>
    <w:p w14:paraId="2B5518BF" w14:textId="77777777" w:rsidR="00A52D29" w:rsidRDefault="00A52D29" w:rsidP="00B0627C">
      <w:pPr>
        <w:jc w:val="both"/>
        <w:rPr>
          <w:rFonts w:ascii="Arial" w:hAnsi="Arial" w:cs="Arial"/>
          <w:sz w:val="24"/>
        </w:rPr>
      </w:pPr>
    </w:p>
    <w:p w14:paraId="6EA98935" w14:textId="7B923FD8" w:rsidR="00A52D29" w:rsidRDefault="00A52D29" w:rsidP="00B0627C">
      <w:pPr>
        <w:jc w:val="both"/>
        <w:rPr>
          <w:rFonts w:ascii="Arial" w:hAnsi="Arial" w:cs="Arial"/>
        </w:rPr>
      </w:pPr>
      <w:r w:rsidRPr="002E5E71">
        <w:rPr>
          <w:rFonts w:ascii="Arial" w:hAnsi="Arial" w:cs="Arial"/>
        </w:rPr>
        <w:t>However,</w:t>
      </w:r>
      <w:r w:rsidRPr="005C34DC">
        <w:rPr>
          <w:rFonts w:ascii="Arial" w:hAnsi="Arial" w:cs="Arial"/>
        </w:rPr>
        <w:t xml:space="preserve"> in this case, UE might </w:t>
      </w:r>
      <w:r w:rsidR="00B92568">
        <w:rPr>
          <w:rFonts w:ascii="Arial" w:hAnsi="Arial" w:cs="Arial"/>
        </w:rPr>
        <w:t xml:space="preserve">prefer to allocate </w:t>
      </w:r>
      <w:r w:rsidRPr="005C34DC">
        <w:rPr>
          <w:rFonts w:ascii="Arial" w:hAnsi="Arial" w:cs="Arial"/>
        </w:rPr>
        <w:t>more resource</w:t>
      </w:r>
      <w:r w:rsidR="00B92568">
        <w:rPr>
          <w:rFonts w:ascii="Arial" w:hAnsi="Arial" w:cs="Arial"/>
        </w:rPr>
        <w:t>s (time and power)</w:t>
      </w:r>
      <w:r w:rsidRPr="005C34DC">
        <w:rPr>
          <w:rFonts w:ascii="Arial" w:hAnsi="Arial" w:cs="Arial"/>
        </w:rPr>
        <w:t xml:space="preserve"> for cell re-selection. </w:t>
      </w:r>
      <w:r w:rsidRPr="002E5E71">
        <w:rPr>
          <w:rFonts w:ascii="Arial" w:hAnsi="Arial" w:cs="Arial"/>
        </w:rPr>
        <w:t>On the other hand, when serving cell signal quality is good</w:t>
      </w:r>
      <w:r>
        <w:rPr>
          <w:rFonts w:ascii="Arial" w:hAnsi="Arial" w:cs="Arial"/>
        </w:rPr>
        <w:t xml:space="preserve">, i.e., </w:t>
      </w:r>
      <w:r w:rsidRPr="003409F4">
        <w:rPr>
          <w:rFonts w:ascii="Arial" w:hAnsi="Arial" w:cs="Arial"/>
          <w:szCs w:val="20"/>
        </w:rPr>
        <w:t>S</w:t>
      </w:r>
      <w:r w:rsidRPr="003409F4">
        <w:rPr>
          <w:rFonts w:ascii="Arial" w:hAnsi="Arial" w:cs="Arial"/>
          <w:szCs w:val="20"/>
          <w:vertAlign w:val="subscript"/>
        </w:rPr>
        <w:t>rxlev</w:t>
      </w:r>
      <w:r w:rsidRPr="003409F4">
        <w:rPr>
          <w:rFonts w:ascii="Arial" w:hAnsi="Arial" w:cs="Arial"/>
          <w:szCs w:val="20"/>
        </w:rPr>
        <w:t xml:space="preserve"> &gt; S</w:t>
      </w:r>
      <w:r w:rsidRPr="003409F4">
        <w:rPr>
          <w:rFonts w:ascii="Arial" w:hAnsi="Arial" w:cs="Arial"/>
          <w:szCs w:val="20"/>
          <w:vertAlign w:val="subscript"/>
        </w:rPr>
        <w:t>nonIntraSearchP</w:t>
      </w:r>
      <w:r w:rsidRPr="003409F4">
        <w:rPr>
          <w:rFonts w:ascii="Arial" w:hAnsi="Arial" w:cs="Arial"/>
          <w:szCs w:val="20"/>
        </w:rPr>
        <w:t xml:space="preserve"> and S</w:t>
      </w:r>
      <w:r w:rsidRPr="003409F4">
        <w:rPr>
          <w:rFonts w:ascii="Arial" w:hAnsi="Arial" w:cs="Arial"/>
          <w:szCs w:val="20"/>
          <w:vertAlign w:val="subscript"/>
        </w:rPr>
        <w:t xml:space="preserve">qual </w:t>
      </w:r>
      <w:r w:rsidRPr="003409F4">
        <w:rPr>
          <w:rFonts w:ascii="Arial" w:hAnsi="Arial" w:cs="Arial"/>
          <w:szCs w:val="20"/>
        </w:rPr>
        <w:t>&gt; S</w:t>
      </w:r>
      <w:r w:rsidRPr="003409F4">
        <w:rPr>
          <w:rFonts w:ascii="Arial" w:hAnsi="Arial" w:cs="Arial"/>
          <w:szCs w:val="20"/>
          <w:vertAlign w:val="subscript"/>
        </w:rPr>
        <w:t>nonIntraSearchQ</w:t>
      </w:r>
      <w:r w:rsidRPr="002E5E71">
        <w:rPr>
          <w:rFonts w:ascii="Arial" w:hAnsi="Arial" w:cs="Arial"/>
        </w:rPr>
        <w:t>, UE has less intention to perform frequent measurement for cell re</w:t>
      </w:r>
      <w:r>
        <w:rPr>
          <w:rFonts w:ascii="Arial" w:hAnsi="Arial" w:cs="Arial"/>
        </w:rPr>
        <w:t>-</w:t>
      </w:r>
      <w:r w:rsidRPr="002E5E71">
        <w:rPr>
          <w:rFonts w:ascii="Arial" w:hAnsi="Arial" w:cs="Arial"/>
        </w:rPr>
        <w:t>selection. In this case, UE can spend more time and power on candidate CA carriers.</w:t>
      </w:r>
      <w:r>
        <w:rPr>
          <w:rFonts w:ascii="Arial" w:hAnsi="Arial" w:cs="Arial"/>
        </w:rPr>
        <w:t xml:space="preserve"> So we suggest</w:t>
      </w:r>
    </w:p>
    <w:p w14:paraId="599E9AE8" w14:textId="7575C4B3" w:rsidR="00A52D29" w:rsidRPr="002E5E71" w:rsidRDefault="00A52D29" w:rsidP="002E5E71">
      <w:pPr>
        <w:pStyle w:val="Caption"/>
        <w:rPr>
          <w:rFonts w:ascii="Arial" w:hAnsi="Arial" w:cs="Arial"/>
          <w:i/>
          <w:sz w:val="22"/>
          <w:szCs w:val="22"/>
        </w:rPr>
      </w:pPr>
      <w:bookmarkStart w:id="11" w:name="_Ref16690095"/>
      <w:r w:rsidRPr="002E5E71">
        <w:rPr>
          <w:rFonts w:ascii="Arial" w:hAnsi="Arial" w:cs="Arial"/>
          <w:i/>
          <w:sz w:val="22"/>
          <w:szCs w:val="22"/>
        </w:rPr>
        <w:t xml:space="preserve">Proposal </w:t>
      </w:r>
      <w:r w:rsidRPr="002E5E71">
        <w:rPr>
          <w:rFonts w:ascii="Arial" w:hAnsi="Arial" w:cs="Arial"/>
          <w:i/>
          <w:sz w:val="22"/>
          <w:szCs w:val="22"/>
        </w:rPr>
        <w:fldChar w:fldCharType="begin"/>
      </w:r>
      <w:r w:rsidRPr="002E5E7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2E5E71">
        <w:rPr>
          <w:rFonts w:ascii="Arial" w:hAnsi="Arial" w:cs="Arial"/>
          <w:i/>
          <w:sz w:val="22"/>
          <w:szCs w:val="22"/>
        </w:rPr>
        <w:fldChar w:fldCharType="separate"/>
      </w:r>
      <w:r w:rsidRPr="002E5E71">
        <w:rPr>
          <w:rFonts w:ascii="Arial" w:hAnsi="Arial" w:cs="Arial"/>
          <w:i/>
          <w:sz w:val="22"/>
          <w:szCs w:val="22"/>
        </w:rPr>
        <w:t>3</w:t>
      </w:r>
      <w:r w:rsidRPr="002E5E71">
        <w:rPr>
          <w:rFonts w:ascii="Arial" w:hAnsi="Arial" w:cs="Arial"/>
          <w:i/>
          <w:sz w:val="22"/>
          <w:szCs w:val="22"/>
        </w:rPr>
        <w:fldChar w:fldCharType="end"/>
      </w:r>
      <w:r w:rsidRPr="002E5E71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>RAN4 to discuss whether to follow the LTE</w:t>
      </w:r>
      <w:r w:rsidRPr="003409F4">
        <w:rPr>
          <w:rFonts w:ascii="Arial" w:hAnsi="Arial" w:cs="Arial"/>
          <w:i/>
          <w:sz w:val="22"/>
          <w:szCs w:val="22"/>
        </w:rPr>
        <w:t xml:space="preserve"> IDLE mode CA measurement </w:t>
      </w:r>
      <w:r>
        <w:rPr>
          <w:rFonts w:ascii="Arial" w:hAnsi="Arial" w:cs="Arial"/>
          <w:i/>
          <w:sz w:val="22"/>
          <w:szCs w:val="22"/>
        </w:rPr>
        <w:t xml:space="preserve">rules, i.e., </w:t>
      </w:r>
      <w:r w:rsidRPr="002E5E71">
        <w:rPr>
          <w:rFonts w:ascii="Arial" w:hAnsi="Arial" w:cs="Arial"/>
          <w:i/>
          <w:sz w:val="22"/>
          <w:szCs w:val="22"/>
        </w:rPr>
        <w:t>UE monitors more carriers</w:t>
      </w:r>
      <w:r w:rsidRPr="003409F4">
        <w:rPr>
          <w:rFonts w:ascii="Arial" w:hAnsi="Arial" w:cs="Arial"/>
          <w:i/>
          <w:sz w:val="22"/>
          <w:szCs w:val="22"/>
        </w:rPr>
        <w:t xml:space="preserve"> when one of the serving cell signal quality is no larger than a certain threshold</w:t>
      </w:r>
      <w:r w:rsidRPr="00A52D29">
        <w:rPr>
          <w:rFonts w:eastAsiaTheme="minorEastAsia"/>
          <w:b w:val="0"/>
          <w:sz w:val="22"/>
          <w:szCs w:val="22"/>
        </w:rPr>
        <w:t xml:space="preserve"> </w:t>
      </w:r>
      <w:r w:rsidRPr="00A52D29">
        <w:rPr>
          <w:rFonts w:ascii="Arial" w:hAnsi="Arial" w:cs="Arial"/>
          <w:i/>
          <w:sz w:val="22"/>
          <w:szCs w:val="22"/>
        </w:rPr>
        <w:t xml:space="preserve">and measures </w:t>
      </w:r>
      <w:r>
        <w:rPr>
          <w:rFonts w:ascii="Arial" w:hAnsi="Arial" w:cs="Arial"/>
          <w:i/>
          <w:sz w:val="22"/>
          <w:szCs w:val="22"/>
        </w:rPr>
        <w:t>less</w:t>
      </w:r>
      <w:r w:rsidRPr="00A52D29">
        <w:rPr>
          <w:rFonts w:ascii="Arial" w:hAnsi="Arial" w:cs="Arial"/>
          <w:i/>
          <w:sz w:val="22"/>
          <w:szCs w:val="22"/>
        </w:rPr>
        <w:t xml:space="preserve"> carriers for CA measurement otherwise.</w:t>
      </w:r>
      <w:bookmarkEnd w:id="11"/>
    </w:p>
    <w:p w14:paraId="408CDEBB" w14:textId="77777777" w:rsidR="00A52D29" w:rsidRDefault="00A52D29" w:rsidP="00B0627C">
      <w:pPr>
        <w:jc w:val="both"/>
        <w:rPr>
          <w:rFonts w:ascii="Arial" w:hAnsi="Arial" w:cs="Arial"/>
        </w:rPr>
      </w:pPr>
    </w:p>
    <w:p w14:paraId="4A8192D0" w14:textId="77777777" w:rsidR="0095210F" w:rsidRDefault="0095210F" w:rsidP="00E3377D">
      <w:bookmarkStart w:id="12" w:name="_Ref525844622"/>
    </w:p>
    <w:p w14:paraId="308B2DAD" w14:textId="77777777" w:rsidR="00726CA9" w:rsidRPr="000F7B73" w:rsidRDefault="00726CA9" w:rsidP="000F7B73">
      <w:pPr>
        <w:pStyle w:val="ListParagraph"/>
        <w:rPr>
          <w:rFonts w:ascii="Arial" w:hAnsi="Arial" w:cs="Arial"/>
        </w:rPr>
      </w:pPr>
    </w:p>
    <w:bookmarkEnd w:id="0"/>
    <w:bookmarkEnd w:id="1"/>
    <w:bookmarkEnd w:id="3"/>
    <w:bookmarkEnd w:id="4"/>
    <w:bookmarkEnd w:id="5"/>
    <w:bookmarkEnd w:id="6"/>
    <w:bookmarkEnd w:id="12"/>
    <w:p w14:paraId="3D0DE51E" w14:textId="77777777" w:rsidR="00B0627C" w:rsidRPr="009F29FB" w:rsidRDefault="00B0627C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Pr="009F29FB">
        <w:rPr>
          <w:rFonts w:cs="Arial"/>
          <w:color w:val="000000" w:themeColor="text1"/>
        </w:rPr>
        <w:tab/>
      </w:r>
      <w:r w:rsidRPr="009F29FB">
        <w:rPr>
          <w:rFonts w:eastAsia="新細明體" w:cs="Arial"/>
          <w:color w:val="000000" w:themeColor="text1"/>
          <w:lang w:eastAsia="zh-TW"/>
        </w:rPr>
        <w:t>Summary</w:t>
      </w:r>
      <w:r w:rsidRPr="009F29FB">
        <w:rPr>
          <w:rFonts w:cs="Arial"/>
          <w:color w:val="000000" w:themeColor="text1"/>
        </w:rPr>
        <w:t xml:space="preserve"> </w:t>
      </w:r>
    </w:p>
    <w:p w14:paraId="5AFB3CE8" w14:textId="77777777" w:rsidR="00A52D29" w:rsidRDefault="00A52D29" w:rsidP="00A52D29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>, we have the following observations:</w:t>
      </w:r>
    </w:p>
    <w:p w14:paraId="6931C76E" w14:textId="585D3CEF" w:rsidR="002E5E71" w:rsidRPr="002E5E71" w:rsidRDefault="00A52D29" w:rsidP="00B0627C">
      <w:pPr>
        <w:pStyle w:val="TAL"/>
        <w:jc w:val="both"/>
        <w:rPr>
          <w:rFonts w:eastAsia="SimSun" w:cs="Arial"/>
          <w:b/>
          <w:i/>
          <w:sz w:val="22"/>
        </w:rPr>
      </w:pPr>
      <w:r w:rsidRPr="002E5E71">
        <w:rPr>
          <w:rFonts w:eastAsia="SimSun" w:cs="Arial"/>
          <w:b/>
          <w:i/>
          <w:sz w:val="22"/>
        </w:rPr>
        <w:fldChar w:fldCharType="begin"/>
      </w:r>
      <w:r w:rsidRPr="002E5E71">
        <w:rPr>
          <w:rFonts w:eastAsia="SimSun" w:cs="Arial"/>
          <w:b/>
          <w:i/>
          <w:sz w:val="22"/>
        </w:rPr>
        <w:instrText xml:space="preserve"> REF _Ref16689764 \h </w:instrText>
      </w:r>
      <w:r w:rsidR="002E5E71">
        <w:rPr>
          <w:rFonts w:eastAsia="SimSun" w:cs="Arial"/>
          <w:b/>
          <w:i/>
          <w:sz w:val="22"/>
        </w:rPr>
        <w:instrText xml:space="preserve"> \* MERGEFORMAT </w:instrText>
      </w:r>
      <w:r w:rsidRPr="002E5E71">
        <w:rPr>
          <w:rFonts w:eastAsia="SimSun" w:cs="Arial"/>
          <w:b/>
          <w:i/>
          <w:sz w:val="22"/>
        </w:rPr>
      </w:r>
      <w:r w:rsidRPr="002E5E71">
        <w:rPr>
          <w:rFonts w:eastAsia="SimSun" w:cs="Arial"/>
          <w:b/>
          <w:i/>
          <w:sz w:val="22"/>
        </w:rPr>
        <w:fldChar w:fldCharType="separate"/>
      </w:r>
      <w:r w:rsidR="005C34DC" w:rsidRPr="005C34DC">
        <w:rPr>
          <w:rFonts w:eastAsia="SimSun" w:cs="Arial"/>
          <w:b/>
          <w:i/>
          <w:sz w:val="22"/>
        </w:rPr>
        <w:t>Observation 1: In LTE euCA, Comparing to the measurement capability specified in IDLE mode cell re-selection, for UE which supports IDLE mode CA measurement, the overall measurement capability may be extended for 1 carriers.</w:t>
      </w:r>
      <w:r w:rsidRPr="002E5E71">
        <w:rPr>
          <w:rFonts w:eastAsia="SimSun" w:cs="Arial"/>
          <w:b/>
          <w:i/>
          <w:sz w:val="22"/>
        </w:rPr>
        <w:fldChar w:fldCharType="end"/>
      </w:r>
    </w:p>
    <w:p w14:paraId="74A6A3D4" w14:textId="671A45B4" w:rsidR="002E5E71" w:rsidRPr="002E5E71" w:rsidRDefault="002E5E71" w:rsidP="00B0627C">
      <w:pPr>
        <w:pStyle w:val="TAL"/>
        <w:jc w:val="both"/>
        <w:rPr>
          <w:rFonts w:eastAsia="SimSun" w:cs="Arial"/>
          <w:b/>
          <w:i/>
          <w:sz w:val="22"/>
        </w:rPr>
      </w:pPr>
      <w:r w:rsidRPr="002E5E71">
        <w:rPr>
          <w:rFonts w:eastAsia="SimSun" w:cs="Arial"/>
          <w:b/>
          <w:i/>
          <w:sz w:val="22"/>
        </w:rPr>
        <w:fldChar w:fldCharType="begin"/>
      </w:r>
      <w:r w:rsidRPr="002E5E71">
        <w:rPr>
          <w:rFonts w:eastAsia="SimSun" w:cs="Arial"/>
          <w:b/>
          <w:i/>
          <w:sz w:val="22"/>
        </w:rPr>
        <w:instrText xml:space="preserve"> REF _Ref16690064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2E5E71">
        <w:rPr>
          <w:rFonts w:eastAsia="SimSun" w:cs="Arial"/>
          <w:b/>
          <w:i/>
          <w:sz w:val="22"/>
        </w:rPr>
      </w:r>
      <w:r w:rsidRPr="002E5E71">
        <w:rPr>
          <w:rFonts w:eastAsia="SimSun" w:cs="Arial"/>
          <w:b/>
          <w:i/>
          <w:sz w:val="22"/>
        </w:rPr>
        <w:fldChar w:fldCharType="separate"/>
      </w:r>
      <w:r w:rsidR="005C34DC" w:rsidRPr="005C34DC">
        <w:rPr>
          <w:rFonts w:eastAsia="SimSun" w:cs="Arial"/>
          <w:b/>
          <w:i/>
          <w:sz w:val="22"/>
        </w:rPr>
        <w:t>Observation 2: UE monitors more carriers for IDLE mode CA measurement when one of the serving cell signal quality is no larger than a certain threshold.</w:t>
      </w:r>
      <w:r w:rsidRPr="002E5E71">
        <w:rPr>
          <w:rFonts w:eastAsia="SimSun" w:cs="Arial"/>
          <w:b/>
          <w:i/>
          <w:sz w:val="22"/>
        </w:rPr>
        <w:fldChar w:fldCharType="end"/>
      </w:r>
    </w:p>
    <w:p w14:paraId="694B10BA" w14:textId="5A6EE67D" w:rsidR="00A52D29" w:rsidRDefault="00A52D29" w:rsidP="00A52D29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2F6CA7F5" w14:textId="35AA1822" w:rsidR="002E5E71" w:rsidRDefault="002E5E71" w:rsidP="00A52D29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_Ref16690084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5C34DC" w:rsidRPr="005C34DC">
        <w:rPr>
          <w:rFonts w:eastAsia="SimSun" w:cs="Arial"/>
          <w:b/>
          <w:i/>
          <w:sz w:val="22"/>
        </w:rPr>
        <w:t xml:space="preserve">Proposal 1: In NR, supporting IDLE/INACTIVE mode CA measurement should not extend the measurement capability defined in Rel-15. </w:t>
      </w:r>
      <w:r>
        <w:rPr>
          <w:rFonts w:eastAsia="SimSun" w:cs="Arial"/>
          <w:b/>
          <w:i/>
          <w:sz w:val="22"/>
        </w:rPr>
        <w:fldChar w:fldCharType="end"/>
      </w:r>
    </w:p>
    <w:p w14:paraId="43472AE9" w14:textId="7BBE4BFC" w:rsidR="002E5E71" w:rsidRDefault="002E5E71" w:rsidP="00A52D29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_Ref16690090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5C34DC" w:rsidRPr="005C34DC">
        <w:rPr>
          <w:rFonts w:eastAsia="SimSun" w:cs="Arial"/>
          <w:b/>
          <w:i/>
          <w:sz w:val="22"/>
        </w:rPr>
        <w:t>Proposal 2: In NR, RAN4 to remove the restriction on the number of overlapping and non-overlapping carriers in early measurement reporting and only specify the total number of carriers.</w:t>
      </w:r>
      <w:r>
        <w:rPr>
          <w:rFonts w:eastAsia="SimSun" w:cs="Arial"/>
          <w:b/>
          <w:i/>
          <w:sz w:val="22"/>
        </w:rPr>
        <w:fldChar w:fldCharType="end"/>
      </w:r>
    </w:p>
    <w:p w14:paraId="66FC8EE0" w14:textId="1F181FBA" w:rsidR="002E5E71" w:rsidRDefault="002E5E71" w:rsidP="00A52D29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_Ref16690095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5C34DC" w:rsidRPr="005C34DC">
        <w:rPr>
          <w:rFonts w:eastAsia="SimSun" w:cs="Arial"/>
          <w:b/>
          <w:i/>
          <w:sz w:val="22"/>
        </w:rPr>
        <w:t>Proposal 3: RAN4 to discuss whether to follow the LTE IDLE mode CA measurement rules, i.e., UE monitors more carriers when one of the serving cell signal quality is no larger than a certain threshold and measures less carriers for CA measurement otherwise.</w:t>
      </w:r>
      <w:r>
        <w:rPr>
          <w:rFonts w:eastAsia="SimSun" w:cs="Arial"/>
          <w:b/>
          <w:i/>
          <w:sz w:val="22"/>
        </w:rPr>
        <w:fldChar w:fldCharType="end"/>
      </w:r>
    </w:p>
    <w:p w14:paraId="3055B566" w14:textId="00B2921B" w:rsidR="00DF17B1" w:rsidRDefault="00DF17B1" w:rsidP="00B0627C">
      <w:pPr>
        <w:pStyle w:val="TAL"/>
        <w:jc w:val="both"/>
        <w:rPr>
          <w:rFonts w:eastAsia="SimSun" w:cs="Arial"/>
          <w:b/>
          <w:i/>
          <w:sz w:val="22"/>
        </w:rPr>
      </w:pPr>
      <w:r w:rsidRPr="00DF17B1">
        <w:rPr>
          <w:rFonts w:eastAsia="SimSun" w:cs="Arial"/>
          <w:b/>
          <w:i/>
          <w:sz w:val="22"/>
        </w:rPr>
        <w:fldChar w:fldCharType="begin"/>
      </w:r>
      <w:r w:rsidRPr="00DF17B1">
        <w:rPr>
          <w:rFonts w:eastAsia="SimSun" w:cs="Arial"/>
          <w:b/>
          <w:i/>
          <w:sz w:val="22"/>
        </w:rPr>
        <w:instrText xml:space="preserve"> REF _Ref7345059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DF17B1">
        <w:rPr>
          <w:rFonts w:eastAsia="SimSun" w:cs="Arial"/>
          <w:b/>
          <w:i/>
          <w:sz w:val="22"/>
        </w:rPr>
      </w:r>
      <w:r w:rsidRPr="00DF17B1">
        <w:rPr>
          <w:rFonts w:eastAsia="SimSun" w:cs="Arial"/>
          <w:b/>
          <w:i/>
          <w:sz w:val="22"/>
        </w:rPr>
        <w:fldChar w:fldCharType="end"/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5980D726" w14:textId="30DFF135" w:rsidR="00DF17B1" w:rsidRDefault="002E5E71" w:rsidP="002E5E71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13" w:name="_Ref7353143"/>
      <w:r w:rsidRPr="002E5E71">
        <w:rPr>
          <w:rFonts w:ascii="Arial" w:hAnsi="Arial" w:cs="Arial"/>
        </w:rPr>
        <w:t>R2-1905501</w:t>
      </w:r>
      <w:r>
        <w:rPr>
          <w:rFonts w:ascii="Arial" w:hAnsi="Arial" w:cs="Arial"/>
        </w:rPr>
        <w:t>,</w:t>
      </w:r>
      <w:r w:rsidR="00DF17B1" w:rsidRPr="005660DB">
        <w:rPr>
          <w:rFonts w:ascii="Arial" w:hAnsi="Arial" w:cs="Arial"/>
        </w:rPr>
        <w:t xml:space="preserve"> </w:t>
      </w:r>
      <w:r w:rsidRPr="002E5E71">
        <w:rPr>
          <w:rFonts w:ascii="Arial" w:hAnsi="Arial" w:cs="Arial"/>
        </w:rPr>
        <w:t>Report of 3GPP TSG RAN2#105bis meeting</w:t>
      </w:r>
      <w:r>
        <w:rPr>
          <w:rFonts w:ascii="Arial" w:hAnsi="Arial" w:cs="Arial"/>
        </w:rPr>
        <w:t xml:space="preserve">, </w:t>
      </w:r>
      <w:r w:rsidRPr="007644CE">
        <w:rPr>
          <w:rFonts w:cs="Arial"/>
        </w:rPr>
        <w:t>Xi'an, China</w:t>
      </w:r>
      <w:r w:rsidR="00DF17B1" w:rsidRPr="005660D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April</w:t>
      </w:r>
      <w:r w:rsidR="00DF17B1" w:rsidRPr="005660DB">
        <w:rPr>
          <w:rFonts w:ascii="Arial" w:hAnsi="Arial" w:cs="Arial"/>
        </w:rPr>
        <w:t>, 2019</w:t>
      </w:r>
      <w:bookmarkEnd w:id="13"/>
      <w:r w:rsidR="006F76A7">
        <w:rPr>
          <w:rFonts w:ascii="Arial" w:hAnsi="Arial" w:cs="Arial"/>
        </w:rPr>
        <w:t>.</w:t>
      </w:r>
    </w:p>
    <w:p w14:paraId="193B8C57" w14:textId="77777777" w:rsidR="000C5555" w:rsidRDefault="000C5555" w:rsidP="003F590D">
      <w:pPr>
        <w:ind w:left="360" w:right="72"/>
        <w:rPr>
          <w:rFonts w:ascii="Arial" w:hAnsi="Arial" w:cs="Arial"/>
        </w:rPr>
      </w:pPr>
    </w:p>
    <w:p w14:paraId="03F670FE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20597001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305DBFFC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179AF706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2F0357CE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2E4C3D46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3DD76C30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0C5E4B67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187F595B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6893AE9B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049E5325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48E855F5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14367598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0849F6AE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40985574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648B2079" w14:textId="77777777" w:rsidR="000C5555" w:rsidRPr="003F590D" w:rsidRDefault="000C5555" w:rsidP="003F590D">
      <w:pPr>
        <w:ind w:right="72" w:firstLine="284"/>
        <w:rPr>
          <w:rFonts w:ascii="Arial" w:hAnsi="Arial" w:cs="Arial"/>
        </w:rPr>
      </w:pPr>
    </w:p>
    <w:p w14:paraId="650093A4" w14:textId="77777777" w:rsidR="006F76A7" w:rsidRPr="006F76A7" w:rsidRDefault="006F76A7" w:rsidP="006F76A7">
      <w:pPr>
        <w:ind w:right="72"/>
        <w:rPr>
          <w:rFonts w:ascii="Arial" w:hAnsi="Arial" w:cs="Arial"/>
        </w:rPr>
      </w:pPr>
    </w:p>
    <w:p w14:paraId="77F05B53" w14:textId="77777777" w:rsidR="00415949" w:rsidRPr="00B0627C" w:rsidRDefault="00415949" w:rsidP="00B0627C"/>
    <w:sectPr w:rsidR="00415949" w:rsidRPr="00B0627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E846A" w14:textId="77777777" w:rsidR="005D6428" w:rsidRDefault="005D6428">
      <w:r>
        <w:separator/>
      </w:r>
    </w:p>
  </w:endnote>
  <w:endnote w:type="continuationSeparator" w:id="0">
    <w:p w14:paraId="01F0A914" w14:textId="77777777" w:rsidR="005D6428" w:rsidRDefault="005D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2039E" w14:textId="77777777" w:rsidR="005D6428" w:rsidRDefault="005D6428">
      <w:r>
        <w:separator/>
      </w:r>
    </w:p>
  </w:footnote>
  <w:footnote w:type="continuationSeparator" w:id="0">
    <w:p w14:paraId="41E7D2ED" w14:textId="77777777" w:rsidR="005D6428" w:rsidRDefault="005D6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E10D6"/>
    <w:multiLevelType w:val="hybridMultilevel"/>
    <w:tmpl w:val="790E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0B7EB3"/>
    <w:multiLevelType w:val="hybridMultilevel"/>
    <w:tmpl w:val="EA5EA656"/>
    <w:lvl w:ilvl="0" w:tplc="9E640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0F3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9AC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E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A6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1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62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4E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1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5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8" w15:restartNumberingAfterBreak="0">
    <w:nsid w:val="2F186A33"/>
    <w:multiLevelType w:val="hybridMultilevel"/>
    <w:tmpl w:val="EE5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03D9E"/>
    <w:multiLevelType w:val="hybridMultilevel"/>
    <w:tmpl w:val="454CCFE0"/>
    <w:lvl w:ilvl="0" w:tplc="50124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081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080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80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A1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64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101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20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455377"/>
    <w:multiLevelType w:val="hybridMultilevel"/>
    <w:tmpl w:val="77E86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58D249F"/>
    <w:multiLevelType w:val="hybridMultilevel"/>
    <w:tmpl w:val="54A80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D215C1B"/>
    <w:multiLevelType w:val="hybridMultilevel"/>
    <w:tmpl w:val="5FCA5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A05763"/>
    <w:multiLevelType w:val="hybridMultilevel"/>
    <w:tmpl w:val="941A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5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6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60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2" w15:restartNumberingAfterBreak="0">
    <w:nsid w:val="53F230BA"/>
    <w:multiLevelType w:val="hybridMultilevel"/>
    <w:tmpl w:val="F7227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1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4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4DB62E1"/>
    <w:multiLevelType w:val="hybridMultilevel"/>
    <w:tmpl w:val="4712D972"/>
    <w:lvl w:ilvl="0" w:tplc="72104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B08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6D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8E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2C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21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C0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21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01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162676"/>
    <w:multiLevelType w:val="hybridMultilevel"/>
    <w:tmpl w:val="919E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953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67A74D81"/>
    <w:multiLevelType w:val="hybridMultilevel"/>
    <w:tmpl w:val="C8CA96F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440A5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10ABA5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C8BA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0B4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2E20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E641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ACF8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4ECE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8" w15:restartNumberingAfterBreak="0">
    <w:nsid w:val="71036096"/>
    <w:multiLevelType w:val="hybridMultilevel"/>
    <w:tmpl w:val="47AAA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31126D1"/>
    <w:multiLevelType w:val="hybridMultilevel"/>
    <w:tmpl w:val="B6B26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1" w15:restartNumberingAfterBreak="0">
    <w:nsid w:val="772927EB"/>
    <w:multiLevelType w:val="hybridMultilevel"/>
    <w:tmpl w:val="34D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77F18CF"/>
    <w:multiLevelType w:val="hybridMultilevel"/>
    <w:tmpl w:val="FD403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7A02780A"/>
    <w:multiLevelType w:val="hybridMultilevel"/>
    <w:tmpl w:val="C150B25C"/>
    <w:lvl w:ilvl="0" w:tplc="2946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43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5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2A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C4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3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E0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904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67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1" w15:restartNumberingAfterBreak="0">
    <w:nsid w:val="7E374FAB"/>
    <w:multiLevelType w:val="hybridMultilevel"/>
    <w:tmpl w:val="0BF41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98082B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7CE68B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328B8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640C17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92A4C3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BA02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7F0D5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8ECA80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7"/>
  </w:num>
  <w:num w:numId="3">
    <w:abstractNumId w:val="31"/>
  </w:num>
  <w:num w:numId="4">
    <w:abstractNumId w:val="25"/>
  </w:num>
  <w:num w:numId="5">
    <w:abstractNumId w:val="86"/>
  </w:num>
  <w:num w:numId="6">
    <w:abstractNumId w:val="60"/>
  </w:num>
  <w:num w:numId="7">
    <w:abstractNumId w:val="100"/>
  </w:num>
  <w:num w:numId="8">
    <w:abstractNumId w:val="24"/>
  </w:num>
  <w:num w:numId="9">
    <w:abstractNumId w:val="38"/>
  </w:num>
  <w:num w:numId="10">
    <w:abstractNumId w:val="27"/>
  </w:num>
  <w:num w:numId="11">
    <w:abstractNumId w:val="90"/>
  </w:num>
  <w:num w:numId="12">
    <w:abstractNumId w:val="19"/>
  </w:num>
  <w:num w:numId="13">
    <w:abstractNumId w:val="11"/>
  </w:num>
  <w:num w:numId="14">
    <w:abstractNumId w:val="32"/>
  </w:num>
  <w:num w:numId="15">
    <w:abstractNumId w:val="69"/>
  </w:num>
  <w:num w:numId="16">
    <w:abstractNumId w:val="49"/>
  </w:num>
  <w:num w:numId="17">
    <w:abstractNumId w:val="59"/>
  </w:num>
  <w:num w:numId="18">
    <w:abstractNumId w:val="4"/>
  </w:num>
  <w:num w:numId="19">
    <w:abstractNumId w:val="1"/>
  </w:num>
  <w:num w:numId="20">
    <w:abstractNumId w:val="14"/>
  </w:num>
  <w:num w:numId="21">
    <w:abstractNumId w:val="26"/>
  </w:num>
  <w:num w:numId="22">
    <w:abstractNumId w:val="21"/>
  </w:num>
  <w:num w:numId="23">
    <w:abstractNumId w:val="55"/>
  </w:num>
  <w:num w:numId="24">
    <w:abstractNumId w:val="54"/>
  </w:num>
  <w:num w:numId="25">
    <w:abstractNumId w:val="17"/>
  </w:num>
  <w:num w:numId="26">
    <w:abstractNumId w:val="56"/>
  </w:num>
  <w:num w:numId="27">
    <w:abstractNumId w:val="61"/>
  </w:num>
  <w:num w:numId="28">
    <w:abstractNumId w:val="64"/>
  </w:num>
  <w:num w:numId="29">
    <w:abstractNumId w:val="10"/>
  </w:num>
  <w:num w:numId="30">
    <w:abstractNumId w:val="37"/>
  </w:num>
  <w:num w:numId="31">
    <w:abstractNumId w:val="57"/>
  </w:num>
  <w:num w:numId="32">
    <w:abstractNumId w:val="13"/>
  </w:num>
  <w:num w:numId="33">
    <w:abstractNumId w:val="52"/>
  </w:num>
  <w:num w:numId="34">
    <w:abstractNumId w:val="33"/>
  </w:num>
  <w:num w:numId="35">
    <w:abstractNumId w:val="45"/>
  </w:num>
  <w:num w:numId="36">
    <w:abstractNumId w:val="43"/>
  </w:num>
  <w:num w:numId="37">
    <w:abstractNumId w:val="3"/>
  </w:num>
  <w:num w:numId="38">
    <w:abstractNumId w:val="63"/>
  </w:num>
  <w:num w:numId="39">
    <w:abstractNumId w:val="23"/>
  </w:num>
  <w:num w:numId="40">
    <w:abstractNumId w:val="9"/>
  </w:num>
  <w:num w:numId="41">
    <w:abstractNumId w:val="44"/>
  </w:num>
  <w:num w:numId="42">
    <w:abstractNumId w:val="40"/>
  </w:num>
  <w:num w:numId="43">
    <w:abstractNumId w:val="35"/>
  </w:num>
  <w:num w:numId="44">
    <w:abstractNumId w:val="76"/>
  </w:num>
  <w:num w:numId="45">
    <w:abstractNumId w:val="16"/>
  </w:num>
  <w:num w:numId="46">
    <w:abstractNumId w:val="30"/>
  </w:num>
  <w:num w:numId="47">
    <w:abstractNumId w:val="82"/>
  </w:num>
  <w:num w:numId="48">
    <w:abstractNumId w:val="95"/>
  </w:num>
  <w:num w:numId="49">
    <w:abstractNumId w:val="83"/>
  </w:num>
  <w:num w:numId="50">
    <w:abstractNumId w:val="71"/>
  </w:num>
  <w:num w:numId="51">
    <w:abstractNumId w:val="15"/>
  </w:num>
  <w:num w:numId="52">
    <w:abstractNumId w:val="92"/>
  </w:num>
  <w:num w:numId="53">
    <w:abstractNumId w:val="7"/>
  </w:num>
  <w:num w:numId="54">
    <w:abstractNumId w:val="79"/>
  </w:num>
  <w:num w:numId="55">
    <w:abstractNumId w:val="68"/>
  </w:num>
  <w:num w:numId="56">
    <w:abstractNumId w:val="72"/>
  </w:num>
  <w:num w:numId="57">
    <w:abstractNumId w:val="5"/>
  </w:num>
  <w:num w:numId="58">
    <w:abstractNumId w:val="46"/>
  </w:num>
  <w:num w:numId="59">
    <w:abstractNumId w:val="22"/>
  </w:num>
  <w:num w:numId="60">
    <w:abstractNumId w:val="81"/>
  </w:num>
  <w:num w:numId="61">
    <w:abstractNumId w:val="73"/>
  </w:num>
  <w:num w:numId="62">
    <w:abstractNumId w:val="96"/>
  </w:num>
  <w:num w:numId="63">
    <w:abstractNumId w:val="12"/>
  </w:num>
  <w:num w:numId="64">
    <w:abstractNumId w:val="66"/>
  </w:num>
  <w:num w:numId="65">
    <w:abstractNumId w:val="6"/>
  </w:num>
  <w:num w:numId="66">
    <w:abstractNumId w:val="50"/>
  </w:num>
  <w:num w:numId="67">
    <w:abstractNumId w:val="67"/>
  </w:num>
  <w:num w:numId="68">
    <w:abstractNumId w:val="48"/>
  </w:num>
  <w:num w:numId="69">
    <w:abstractNumId w:val="85"/>
  </w:num>
  <w:num w:numId="70">
    <w:abstractNumId w:val="97"/>
  </w:num>
  <w:num w:numId="71">
    <w:abstractNumId w:val="84"/>
  </w:num>
  <w:num w:numId="72">
    <w:abstractNumId w:val="51"/>
  </w:num>
  <w:num w:numId="73">
    <w:abstractNumId w:val="47"/>
  </w:num>
  <w:num w:numId="74">
    <w:abstractNumId w:val="58"/>
  </w:num>
  <w:num w:numId="75">
    <w:abstractNumId w:val="20"/>
  </w:num>
  <w:num w:numId="76">
    <w:abstractNumId w:val="18"/>
  </w:num>
  <w:num w:numId="77">
    <w:abstractNumId w:val="99"/>
  </w:num>
  <w:num w:numId="78">
    <w:abstractNumId w:val="102"/>
  </w:num>
  <w:num w:numId="79">
    <w:abstractNumId w:val="39"/>
  </w:num>
  <w:num w:numId="80">
    <w:abstractNumId w:val="98"/>
  </w:num>
  <w:num w:numId="81">
    <w:abstractNumId w:val="53"/>
  </w:num>
  <w:num w:numId="82">
    <w:abstractNumId w:val="70"/>
  </w:num>
  <w:num w:numId="83">
    <w:abstractNumId w:val="36"/>
  </w:num>
  <w:num w:numId="84">
    <w:abstractNumId w:val="78"/>
  </w:num>
  <w:num w:numId="85">
    <w:abstractNumId w:val="74"/>
  </w:num>
  <w:num w:numId="86">
    <w:abstractNumId w:val="65"/>
  </w:num>
  <w:num w:numId="87">
    <w:abstractNumId w:val="2"/>
  </w:num>
  <w:num w:numId="88">
    <w:abstractNumId w:val="28"/>
  </w:num>
  <w:num w:numId="89">
    <w:abstractNumId w:val="42"/>
  </w:num>
  <w:num w:numId="90">
    <w:abstractNumId w:val="91"/>
  </w:num>
  <w:num w:numId="91">
    <w:abstractNumId w:val="34"/>
  </w:num>
  <w:num w:numId="92">
    <w:abstractNumId w:val="29"/>
  </w:num>
  <w:num w:numId="93">
    <w:abstractNumId w:val="94"/>
  </w:num>
  <w:num w:numId="94">
    <w:abstractNumId w:val="75"/>
  </w:num>
  <w:num w:numId="95">
    <w:abstractNumId w:val="8"/>
  </w:num>
  <w:num w:numId="96">
    <w:abstractNumId w:val="93"/>
  </w:num>
  <w:num w:numId="97">
    <w:abstractNumId w:val="77"/>
  </w:num>
  <w:num w:numId="98">
    <w:abstractNumId w:val="101"/>
  </w:num>
  <w:num w:numId="99">
    <w:abstractNumId w:val="80"/>
  </w:num>
  <w:num w:numId="100">
    <w:abstractNumId w:val="62"/>
  </w:num>
  <w:num w:numId="101">
    <w:abstractNumId w:val="41"/>
  </w:num>
  <w:num w:numId="102">
    <w:abstractNumId w:val="89"/>
  </w:num>
  <w:num w:numId="103">
    <w:abstractNumId w:val="88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6E"/>
    <w:rsid w:val="001B128B"/>
    <w:rsid w:val="001B192A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5BD"/>
    <w:rsid w:val="00325769"/>
    <w:rsid w:val="00326CBE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28D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428"/>
    <w:rsid w:val="005D6AE3"/>
    <w:rsid w:val="005D7436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5E29"/>
    <w:rsid w:val="006F5F5A"/>
    <w:rsid w:val="006F63D2"/>
    <w:rsid w:val="006F6434"/>
    <w:rsid w:val="006F656C"/>
    <w:rsid w:val="006F679B"/>
    <w:rsid w:val="006F76A7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3769"/>
    <w:rsid w:val="00773A9E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FC1"/>
    <w:rsid w:val="00A06408"/>
    <w:rsid w:val="00A06CDE"/>
    <w:rsid w:val="00A07509"/>
    <w:rsid w:val="00A078AA"/>
    <w:rsid w:val="00A103AE"/>
    <w:rsid w:val="00A106BA"/>
    <w:rsid w:val="00A1221F"/>
    <w:rsid w:val="00A13A03"/>
    <w:rsid w:val="00A13D72"/>
    <w:rsid w:val="00A14191"/>
    <w:rsid w:val="00A14DE9"/>
    <w:rsid w:val="00A14E8D"/>
    <w:rsid w:val="00A1540E"/>
    <w:rsid w:val="00A155BA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3ED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DEF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939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DE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2D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DE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44D5B-32DD-4DEC-A8BF-2BE692A8A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9623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2019-08-15T13:14:00Z</dcterms:created>
  <dcterms:modified xsi:type="dcterms:W3CDTF">2019-08-16T08:31:00Z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